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C2D329" w14:textId="77777777" w:rsidR="00A819B3" w:rsidRDefault="002C721B">
      <w:pPr>
        <w:pStyle w:val="BodyText"/>
        <w:rPr>
          <w:rFonts w:ascii="Times New Roman"/>
        </w:rPr>
      </w:pPr>
      <w:r>
        <w:pict w14:anchorId="20C2D3E7">
          <v:group id="_x0000_s1035" style="position:absolute;margin-left:-.5pt;margin-top:35.8pt;width:595.6pt;height:567.95pt;z-index:-15860224;mso-position-horizontal-relative:page;mso-position-vertical-relative:page" coordorigin="-10,716" coordsize="11912,11359">
            <v:shape id="_x0000_s1042" style="position:absolute;top:3316;width:9396;height:6273" coordorigin=",3316" coordsize="9396,6273" path="m,9589r5527,l9396,3316,,3316e" filled="f" strokecolor="#8dc53e" strokeweight="1pt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1" type="#_x0000_t75" style="position:absolute;left:5242;top:5292;width:6660;height:6280">
              <v:imagedata r:id="rId8" o:title=""/>
            </v:shape>
            <v:shape id="_x0000_s1040" style="position:absolute;left:1204;top:11026;width:3651;height:396" coordorigin="1204,11026" coordsize="3651,396" path="m4855,11026r-3402,l1204,11422r3401,l4855,11026xe" fillcolor="#004674" stroked="f">
              <v:path arrowok="t"/>
            </v:shape>
            <v:shape id="_x0000_s1039" style="position:absolute;left:2108;top:716;width:7959;height:11359" coordorigin="2109,716" coordsize="7959,11359" o:spt="100" adj="0,,0" path="m2696,1661l2109,716r,601l2509,1962r187,-301xm9759,4506r-283,l4778,12075r279,l9759,4506xm10068,2551r-283,l4855,10502r283,l10068,2551xe" fillcolor="#8dc53e" stroked="f">
              <v:stroke joinstyle="round"/>
              <v:formulas/>
              <v:path arrowok="t" o:connecttype="segments"/>
            </v:shape>
            <v:shape id="_x0000_s1038" style="position:absolute;left:2109;top:1661;width:587;height:1546" coordorigin="2109,1661" coordsize="587,1546" path="m2696,1661r-587,945l2109,3207r587,-945l2696,1661xe" fillcolor="#6c6d70" stroked="f">
              <v:path arrowok="t"/>
            </v:shape>
            <v:shape id="_x0000_s1037" style="position:absolute;left:2720;top:716;width:587;height:1246" coordorigin="2720,716" coordsize="587,1246" path="m2720,716r,601l3120,1962r187,-301l2720,716xe" fillcolor="#8dc53e" stroked="f">
              <v:path arrowok="t"/>
            </v:shape>
            <v:shape id="_x0000_s1036" style="position:absolute;left:2720;top:1661;width:587;height:1546" coordorigin="2720,1661" coordsize="587,1546" path="m3307,1661r-587,945l2720,3207r587,-945l3307,1661xe" fillcolor="#6c6d70" stroked="f">
              <v:path arrowok="t"/>
            </v:shape>
            <w10:wrap anchorx="page" anchory="page"/>
          </v:group>
        </w:pict>
      </w:r>
    </w:p>
    <w:p w14:paraId="20C2D32A" w14:textId="77777777" w:rsidR="00A819B3" w:rsidRDefault="00A819B3">
      <w:pPr>
        <w:pStyle w:val="BodyText"/>
        <w:rPr>
          <w:rFonts w:ascii="Times New Roman"/>
        </w:rPr>
      </w:pPr>
    </w:p>
    <w:p w14:paraId="20C2D32B" w14:textId="77777777" w:rsidR="00A819B3" w:rsidRDefault="00A819B3">
      <w:pPr>
        <w:pStyle w:val="BodyText"/>
        <w:rPr>
          <w:rFonts w:ascii="Times New Roman"/>
        </w:rPr>
      </w:pPr>
    </w:p>
    <w:p w14:paraId="20C2D32C" w14:textId="77777777" w:rsidR="00A819B3" w:rsidRDefault="00A819B3">
      <w:pPr>
        <w:pStyle w:val="BodyText"/>
        <w:rPr>
          <w:rFonts w:ascii="Times New Roman"/>
        </w:rPr>
      </w:pPr>
    </w:p>
    <w:p w14:paraId="20C2D32D" w14:textId="77777777" w:rsidR="00A819B3" w:rsidRDefault="00A819B3">
      <w:pPr>
        <w:pStyle w:val="BodyText"/>
        <w:rPr>
          <w:rFonts w:ascii="Times New Roman"/>
        </w:rPr>
      </w:pPr>
    </w:p>
    <w:p w14:paraId="20C2D32E" w14:textId="77777777" w:rsidR="00A819B3" w:rsidRDefault="00A819B3">
      <w:pPr>
        <w:pStyle w:val="BodyText"/>
        <w:rPr>
          <w:rFonts w:ascii="Times New Roman"/>
        </w:rPr>
      </w:pPr>
    </w:p>
    <w:p w14:paraId="20C2D32F" w14:textId="77777777" w:rsidR="00A819B3" w:rsidRDefault="00A819B3">
      <w:pPr>
        <w:pStyle w:val="BodyText"/>
        <w:rPr>
          <w:rFonts w:ascii="Times New Roman"/>
        </w:rPr>
      </w:pPr>
    </w:p>
    <w:p w14:paraId="20C2D330" w14:textId="77777777" w:rsidR="00A819B3" w:rsidRDefault="00A819B3">
      <w:pPr>
        <w:pStyle w:val="BodyText"/>
        <w:rPr>
          <w:rFonts w:ascii="Times New Roman"/>
        </w:rPr>
      </w:pPr>
    </w:p>
    <w:p w14:paraId="20C2D331" w14:textId="77777777" w:rsidR="00A819B3" w:rsidRDefault="00A819B3">
      <w:pPr>
        <w:pStyle w:val="BodyText"/>
        <w:rPr>
          <w:rFonts w:ascii="Times New Roman"/>
        </w:rPr>
      </w:pPr>
    </w:p>
    <w:p w14:paraId="20C2D332" w14:textId="77777777" w:rsidR="00A819B3" w:rsidRDefault="00A819B3">
      <w:pPr>
        <w:pStyle w:val="BodyText"/>
        <w:rPr>
          <w:rFonts w:ascii="Times New Roman"/>
        </w:rPr>
      </w:pPr>
    </w:p>
    <w:p w14:paraId="20C2D333" w14:textId="77777777" w:rsidR="00A819B3" w:rsidRDefault="00A819B3">
      <w:pPr>
        <w:pStyle w:val="BodyText"/>
        <w:rPr>
          <w:rFonts w:ascii="Times New Roman"/>
        </w:rPr>
      </w:pPr>
    </w:p>
    <w:p w14:paraId="20C2D334" w14:textId="77777777" w:rsidR="00A819B3" w:rsidRDefault="002C721B" w:rsidP="008145AA">
      <w:pPr>
        <w:pStyle w:val="Title"/>
        <w:spacing w:before="222" w:line="264" w:lineRule="auto"/>
        <w:ind w:left="851" w:right="2651" w:firstLine="49"/>
      </w:pPr>
      <w:r>
        <w:rPr>
          <w:color w:val="57585B"/>
        </w:rPr>
        <w:t>Препоръка на Съвета за интегрирано управление на</w:t>
      </w:r>
    </w:p>
    <w:p w14:paraId="20C2D335" w14:textId="77777777" w:rsidR="00A819B3" w:rsidRDefault="002C721B" w:rsidP="008145AA">
      <w:pPr>
        <w:pStyle w:val="Title"/>
        <w:ind w:left="4194" w:hanging="2067"/>
      </w:pPr>
      <w:r>
        <w:rPr>
          <w:color w:val="57585B"/>
        </w:rPr>
        <w:t>крайбрежните зони</w:t>
      </w:r>
    </w:p>
    <w:p w14:paraId="20C2D336" w14:textId="77777777" w:rsidR="00A819B3" w:rsidRDefault="00A819B3">
      <w:pPr>
        <w:pStyle w:val="BodyText"/>
      </w:pPr>
    </w:p>
    <w:p w14:paraId="20C2D337" w14:textId="77777777" w:rsidR="00A819B3" w:rsidRDefault="00A819B3">
      <w:pPr>
        <w:pStyle w:val="BodyText"/>
      </w:pPr>
    </w:p>
    <w:p w14:paraId="20C2D338" w14:textId="77777777" w:rsidR="00A819B3" w:rsidRDefault="00A819B3">
      <w:pPr>
        <w:pStyle w:val="BodyText"/>
      </w:pPr>
    </w:p>
    <w:p w14:paraId="20C2D339" w14:textId="77777777" w:rsidR="00A819B3" w:rsidRDefault="00A819B3">
      <w:pPr>
        <w:pStyle w:val="BodyText"/>
      </w:pPr>
    </w:p>
    <w:p w14:paraId="20C2D33A" w14:textId="77777777" w:rsidR="00A819B3" w:rsidRDefault="00A819B3">
      <w:pPr>
        <w:pStyle w:val="BodyText"/>
      </w:pPr>
    </w:p>
    <w:p w14:paraId="20C2D33B" w14:textId="77777777" w:rsidR="00A819B3" w:rsidRDefault="00A819B3">
      <w:pPr>
        <w:pStyle w:val="BodyText"/>
      </w:pPr>
    </w:p>
    <w:p w14:paraId="20C2D33C" w14:textId="77777777" w:rsidR="00A819B3" w:rsidRDefault="00A819B3">
      <w:pPr>
        <w:pStyle w:val="BodyText"/>
      </w:pPr>
    </w:p>
    <w:p w14:paraId="20C2D33D" w14:textId="77777777" w:rsidR="00A819B3" w:rsidRDefault="00A819B3">
      <w:pPr>
        <w:pStyle w:val="BodyText"/>
      </w:pPr>
    </w:p>
    <w:p w14:paraId="20C2D33E" w14:textId="77777777" w:rsidR="00A819B3" w:rsidRDefault="00A819B3">
      <w:pPr>
        <w:pStyle w:val="BodyText"/>
      </w:pPr>
    </w:p>
    <w:p w14:paraId="20C2D33F" w14:textId="77777777" w:rsidR="00A819B3" w:rsidRDefault="00A819B3">
      <w:pPr>
        <w:pStyle w:val="BodyText"/>
      </w:pPr>
    </w:p>
    <w:p w14:paraId="20C2D340" w14:textId="77777777" w:rsidR="00A819B3" w:rsidRDefault="00A819B3">
      <w:pPr>
        <w:pStyle w:val="BodyText"/>
      </w:pPr>
    </w:p>
    <w:p w14:paraId="20C2D341" w14:textId="77777777" w:rsidR="00A819B3" w:rsidRDefault="00A819B3">
      <w:pPr>
        <w:pStyle w:val="BodyText"/>
      </w:pPr>
    </w:p>
    <w:p w14:paraId="20C2D342" w14:textId="77777777" w:rsidR="00A819B3" w:rsidRDefault="00A819B3">
      <w:pPr>
        <w:pStyle w:val="BodyText"/>
      </w:pPr>
    </w:p>
    <w:p w14:paraId="20C2D343" w14:textId="77777777" w:rsidR="00A819B3" w:rsidRDefault="00A819B3">
      <w:pPr>
        <w:pStyle w:val="BodyText"/>
      </w:pPr>
    </w:p>
    <w:p w14:paraId="20C2D344" w14:textId="77777777" w:rsidR="00A819B3" w:rsidRDefault="00A819B3">
      <w:pPr>
        <w:pStyle w:val="BodyText"/>
      </w:pPr>
    </w:p>
    <w:p w14:paraId="20C2D345" w14:textId="77777777" w:rsidR="00A819B3" w:rsidRDefault="00A819B3">
      <w:pPr>
        <w:pStyle w:val="BodyText"/>
      </w:pPr>
    </w:p>
    <w:p w14:paraId="20C2D346" w14:textId="77777777" w:rsidR="00A819B3" w:rsidRDefault="00A819B3">
      <w:pPr>
        <w:pStyle w:val="BodyText"/>
      </w:pPr>
    </w:p>
    <w:p w14:paraId="20C2D347" w14:textId="77777777" w:rsidR="00A819B3" w:rsidRDefault="00A819B3">
      <w:pPr>
        <w:pStyle w:val="BodyText"/>
      </w:pPr>
    </w:p>
    <w:p w14:paraId="20C2D348" w14:textId="77777777" w:rsidR="00A819B3" w:rsidRDefault="00A819B3">
      <w:pPr>
        <w:pStyle w:val="BodyText"/>
      </w:pPr>
    </w:p>
    <w:p w14:paraId="20C2D349" w14:textId="77777777" w:rsidR="00A819B3" w:rsidRDefault="00A819B3">
      <w:pPr>
        <w:pStyle w:val="BodyText"/>
      </w:pPr>
    </w:p>
    <w:p w14:paraId="20C2D34A" w14:textId="77777777" w:rsidR="00A819B3" w:rsidRDefault="00A819B3">
      <w:pPr>
        <w:pStyle w:val="BodyText"/>
      </w:pPr>
    </w:p>
    <w:p w14:paraId="20C2D34B" w14:textId="77777777" w:rsidR="00A819B3" w:rsidRDefault="00A819B3">
      <w:pPr>
        <w:pStyle w:val="BodyText"/>
      </w:pPr>
    </w:p>
    <w:p w14:paraId="20C2D34C" w14:textId="77777777" w:rsidR="00A819B3" w:rsidRDefault="00A819B3">
      <w:pPr>
        <w:pStyle w:val="BodyText"/>
      </w:pPr>
    </w:p>
    <w:p w14:paraId="20C2D34D" w14:textId="77777777" w:rsidR="00A819B3" w:rsidRDefault="00A819B3">
      <w:pPr>
        <w:pStyle w:val="BodyText"/>
      </w:pPr>
    </w:p>
    <w:p w14:paraId="20C2D34E" w14:textId="77777777" w:rsidR="00A819B3" w:rsidRDefault="00A819B3">
      <w:pPr>
        <w:pStyle w:val="BodyText"/>
      </w:pPr>
    </w:p>
    <w:p w14:paraId="20C2D34F" w14:textId="77777777" w:rsidR="00A819B3" w:rsidRDefault="00A819B3">
      <w:pPr>
        <w:pStyle w:val="BodyText"/>
      </w:pPr>
    </w:p>
    <w:p w14:paraId="20C2D350" w14:textId="77777777" w:rsidR="00A819B3" w:rsidRDefault="00A819B3">
      <w:pPr>
        <w:pStyle w:val="BodyText"/>
      </w:pPr>
    </w:p>
    <w:p w14:paraId="20C2D351" w14:textId="77777777" w:rsidR="00A819B3" w:rsidRDefault="00A819B3">
      <w:pPr>
        <w:pStyle w:val="BodyText"/>
        <w:spacing w:before="8"/>
        <w:rPr>
          <w:sz w:val="19"/>
        </w:rPr>
      </w:pPr>
    </w:p>
    <w:p w14:paraId="20C2D352" w14:textId="77777777" w:rsidR="00A819B3" w:rsidRDefault="002C721B" w:rsidP="008145AA">
      <w:pPr>
        <w:spacing w:before="142" w:line="204" w:lineRule="auto"/>
        <w:ind w:left="811" w:right="7088" w:hanging="953"/>
        <w:rPr>
          <w:rFonts w:ascii="Arial Black"/>
          <w:sz w:val="26"/>
        </w:rPr>
      </w:pPr>
      <w:r>
        <w:rPr>
          <w:rFonts w:ascii="Arial Black"/>
          <w:color w:val="004674"/>
          <w:sz w:val="26"/>
        </w:rPr>
        <w:t>Правни</w:t>
      </w:r>
      <w:r>
        <w:rPr>
          <w:rFonts w:ascii="Arial Black"/>
          <w:color w:val="004674"/>
          <w:sz w:val="26"/>
        </w:rPr>
        <w:t xml:space="preserve"> </w:t>
      </w:r>
      <w:r>
        <w:rPr>
          <w:rFonts w:ascii="Arial Black"/>
          <w:color w:val="004674"/>
          <w:sz w:val="26"/>
        </w:rPr>
        <w:t>инструменти</w:t>
      </w:r>
      <w:r>
        <w:rPr>
          <w:rFonts w:ascii="Arial Black"/>
          <w:color w:val="004674"/>
          <w:sz w:val="26"/>
        </w:rPr>
        <w:t xml:space="preserve"> </w:t>
      </w:r>
      <w:r>
        <w:rPr>
          <w:rFonts w:ascii="Arial Black"/>
          <w:color w:val="004674"/>
          <w:sz w:val="26"/>
        </w:rPr>
        <w:t>на</w:t>
      </w:r>
      <w:r>
        <w:rPr>
          <w:rFonts w:ascii="Arial Black"/>
          <w:color w:val="004674"/>
          <w:sz w:val="26"/>
        </w:rPr>
        <w:t xml:space="preserve"> </w:t>
      </w:r>
      <w:r>
        <w:rPr>
          <w:rFonts w:ascii="Arial Black"/>
          <w:color w:val="004674"/>
          <w:sz w:val="26"/>
        </w:rPr>
        <w:t>ОИСР</w:t>
      </w:r>
    </w:p>
    <w:p w14:paraId="20C2D353" w14:textId="77777777" w:rsidR="00A819B3" w:rsidRDefault="00A819B3">
      <w:pPr>
        <w:pStyle w:val="BodyText"/>
        <w:rPr>
          <w:rFonts w:ascii="Arial Black"/>
        </w:rPr>
      </w:pPr>
    </w:p>
    <w:p w14:paraId="20C2D354" w14:textId="77777777" w:rsidR="00A819B3" w:rsidRDefault="00A819B3">
      <w:pPr>
        <w:pStyle w:val="BodyText"/>
        <w:rPr>
          <w:rFonts w:ascii="Arial Black"/>
        </w:rPr>
      </w:pPr>
    </w:p>
    <w:p w14:paraId="20C2D355" w14:textId="77777777" w:rsidR="00A819B3" w:rsidRDefault="00A819B3">
      <w:pPr>
        <w:pStyle w:val="BodyText"/>
        <w:rPr>
          <w:rFonts w:ascii="Arial Black"/>
        </w:rPr>
      </w:pPr>
    </w:p>
    <w:p w14:paraId="20C2D356" w14:textId="77777777" w:rsidR="00A819B3" w:rsidRDefault="00A819B3">
      <w:pPr>
        <w:pStyle w:val="BodyText"/>
        <w:rPr>
          <w:rFonts w:ascii="Arial Black"/>
        </w:rPr>
      </w:pPr>
    </w:p>
    <w:p w14:paraId="20C2D357" w14:textId="77777777" w:rsidR="00A819B3" w:rsidRDefault="00A819B3">
      <w:pPr>
        <w:pStyle w:val="BodyText"/>
        <w:rPr>
          <w:rFonts w:ascii="Arial Black"/>
        </w:rPr>
      </w:pPr>
    </w:p>
    <w:p w14:paraId="20C2D358" w14:textId="77777777" w:rsidR="00A819B3" w:rsidRDefault="00A819B3">
      <w:pPr>
        <w:pStyle w:val="BodyText"/>
        <w:rPr>
          <w:rFonts w:ascii="Arial Black"/>
        </w:rPr>
      </w:pPr>
    </w:p>
    <w:p w14:paraId="20C2D359" w14:textId="77777777" w:rsidR="00A819B3" w:rsidRDefault="00A819B3">
      <w:pPr>
        <w:pStyle w:val="BodyText"/>
        <w:rPr>
          <w:rFonts w:ascii="Arial Black"/>
        </w:rPr>
      </w:pPr>
    </w:p>
    <w:p w14:paraId="20C2D35A" w14:textId="77777777" w:rsidR="00A819B3" w:rsidRDefault="00A819B3">
      <w:pPr>
        <w:pStyle w:val="BodyText"/>
        <w:rPr>
          <w:rFonts w:ascii="Arial Black"/>
        </w:rPr>
      </w:pPr>
    </w:p>
    <w:p w14:paraId="20C2D35B" w14:textId="77777777" w:rsidR="00A819B3" w:rsidRDefault="00A819B3">
      <w:pPr>
        <w:pStyle w:val="BodyText"/>
        <w:rPr>
          <w:rFonts w:ascii="Arial Black"/>
        </w:rPr>
      </w:pPr>
    </w:p>
    <w:p w14:paraId="20C2D35C" w14:textId="77777777" w:rsidR="00A819B3" w:rsidRDefault="00A819B3">
      <w:pPr>
        <w:pStyle w:val="BodyText"/>
        <w:rPr>
          <w:rFonts w:ascii="Arial Black"/>
        </w:rPr>
      </w:pPr>
    </w:p>
    <w:p w14:paraId="20C2D35D" w14:textId="77777777" w:rsidR="00A819B3" w:rsidRDefault="002C721B">
      <w:pPr>
        <w:pStyle w:val="BodyText"/>
        <w:spacing w:before="7"/>
        <w:rPr>
          <w:rFonts w:ascii="Arial Black"/>
          <w:sz w:val="19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20C2D3E8" wp14:editId="20C2D3E9">
            <wp:simplePos x="0" y="0"/>
            <wp:positionH relativeFrom="page">
              <wp:posOffset>5058409</wp:posOffset>
            </wp:positionH>
            <wp:positionV relativeFrom="paragraph">
              <wp:posOffset>199379</wp:posOffset>
            </wp:positionV>
            <wp:extent cx="2165036" cy="666750"/>
            <wp:effectExtent l="0" t="0" r="0" b="0"/>
            <wp:wrapTopAndBottom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5036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C2D35E" w14:textId="77777777" w:rsidR="00A819B3" w:rsidRDefault="00A819B3">
      <w:pPr>
        <w:rPr>
          <w:rFonts w:ascii="Arial Black"/>
          <w:sz w:val="19"/>
        </w:rPr>
        <w:sectPr w:rsidR="00A819B3">
          <w:type w:val="continuous"/>
          <w:pgSz w:w="11920" w:h="16850"/>
          <w:pgMar w:top="720" w:right="420" w:bottom="280" w:left="1680" w:header="720" w:footer="720" w:gutter="0"/>
          <w:cols w:space="720"/>
        </w:sectPr>
      </w:pPr>
    </w:p>
    <w:p w14:paraId="20C2D35F" w14:textId="77777777" w:rsidR="00A819B3" w:rsidRDefault="00A819B3">
      <w:pPr>
        <w:pStyle w:val="BodyText"/>
        <w:rPr>
          <w:rFonts w:ascii="Arial Black"/>
        </w:rPr>
      </w:pPr>
    </w:p>
    <w:p w14:paraId="20C2D360" w14:textId="77777777" w:rsidR="00A819B3" w:rsidRDefault="00A819B3">
      <w:pPr>
        <w:pStyle w:val="BodyText"/>
        <w:rPr>
          <w:rFonts w:ascii="Arial Black"/>
        </w:rPr>
      </w:pPr>
    </w:p>
    <w:p w14:paraId="20C2D361" w14:textId="77777777" w:rsidR="00A819B3" w:rsidRDefault="00A819B3">
      <w:pPr>
        <w:pStyle w:val="BodyText"/>
        <w:rPr>
          <w:rFonts w:ascii="Arial Black"/>
        </w:rPr>
      </w:pPr>
    </w:p>
    <w:p w14:paraId="20C2D362" w14:textId="77777777" w:rsidR="00A819B3" w:rsidRDefault="00A819B3">
      <w:pPr>
        <w:pStyle w:val="BodyText"/>
        <w:rPr>
          <w:rFonts w:ascii="Arial Black"/>
        </w:rPr>
      </w:pPr>
    </w:p>
    <w:p w14:paraId="20C2D363" w14:textId="77777777" w:rsidR="00A819B3" w:rsidRDefault="00A819B3">
      <w:pPr>
        <w:pStyle w:val="BodyText"/>
        <w:rPr>
          <w:rFonts w:ascii="Arial Black"/>
        </w:rPr>
      </w:pPr>
    </w:p>
    <w:p w14:paraId="20C2D364" w14:textId="77777777" w:rsidR="00A819B3" w:rsidRDefault="00A819B3">
      <w:pPr>
        <w:pStyle w:val="BodyText"/>
        <w:spacing w:before="1"/>
        <w:rPr>
          <w:rFonts w:ascii="Arial Black"/>
          <w:sz w:val="22"/>
        </w:rPr>
      </w:pPr>
    </w:p>
    <w:p w14:paraId="20C2D365" w14:textId="77777777" w:rsidR="00A819B3" w:rsidRDefault="002C721B">
      <w:pPr>
        <w:spacing w:before="94" w:line="242" w:lineRule="auto"/>
        <w:ind w:left="797" w:right="817"/>
        <w:jc w:val="both"/>
        <w:rPr>
          <w:sz w:val="18"/>
        </w:rPr>
      </w:pPr>
      <w:r>
        <w:rPr>
          <w:sz w:val="18"/>
        </w:rPr>
        <w:t>Този документ е публикуван под отговорността на генералния секретар на ОИСР. Той пресъздава правен инструмент на ОИСР и може да съдържа допълнителен материал. Изразените мнения и аргументите, използвани в допълнителния материал, не отразяват непременно офи</w:t>
      </w:r>
      <w:r>
        <w:rPr>
          <w:sz w:val="18"/>
        </w:rPr>
        <w:t>циалните възгледи на страните-членки на ОИСР.</w:t>
      </w:r>
    </w:p>
    <w:p w14:paraId="20C2D366" w14:textId="77777777" w:rsidR="00A819B3" w:rsidRDefault="00A819B3">
      <w:pPr>
        <w:pStyle w:val="BodyText"/>
        <w:spacing w:before="10"/>
        <w:rPr>
          <w:sz w:val="15"/>
        </w:rPr>
      </w:pPr>
    </w:p>
    <w:p w14:paraId="20C2D367" w14:textId="77777777" w:rsidR="00A819B3" w:rsidRDefault="002C721B">
      <w:pPr>
        <w:spacing w:line="242" w:lineRule="auto"/>
        <w:ind w:left="797" w:right="815"/>
        <w:jc w:val="both"/>
        <w:rPr>
          <w:sz w:val="18"/>
        </w:rPr>
      </w:pPr>
      <w:r>
        <w:rPr>
          <w:sz w:val="18"/>
        </w:rPr>
        <w:t>Този документ, както и всички данни и всяка карта, включени тук, не засягат статута или суверенитета върху която и да е територия, разграничаването на международни граници и наименованието на която и да е тери</w:t>
      </w:r>
      <w:r>
        <w:rPr>
          <w:sz w:val="18"/>
        </w:rPr>
        <w:t>тория, град или област.</w:t>
      </w:r>
    </w:p>
    <w:p w14:paraId="20C2D368" w14:textId="77777777" w:rsidR="00A819B3" w:rsidRDefault="00A819B3">
      <w:pPr>
        <w:pStyle w:val="BodyText"/>
      </w:pPr>
    </w:p>
    <w:p w14:paraId="20C2D369" w14:textId="77777777" w:rsidR="00A819B3" w:rsidRDefault="00A819B3">
      <w:pPr>
        <w:pStyle w:val="BodyText"/>
      </w:pPr>
    </w:p>
    <w:p w14:paraId="20C2D36A" w14:textId="77777777" w:rsidR="00A819B3" w:rsidRDefault="00A819B3">
      <w:pPr>
        <w:pStyle w:val="BodyText"/>
      </w:pPr>
    </w:p>
    <w:p w14:paraId="20C2D36B" w14:textId="77777777" w:rsidR="00A819B3" w:rsidRDefault="00A819B3">
      <w:pPr>
        <w:pStyle w:val="BodyText"/>
      </w:pPr>
    </w:p>
    <w:p w14:paraId="20C2D36C" w14:textId="77777777" w:rsidR="00A819B3" w:rsidRDefault="00A819B3">
      <w:pPr>
        <w:pStyle w:val="BodyText"/>
      </w:pPr>
    </w:p>
    <w:p w14:paraId="20C2D36D" w14:textId="77777777" w:rsidR="00A819B3" w:rsidRDefault="00A819B3">
      <w:pPr>
        <w:pStyle w:val="BodyText"/>
      </w:pPr>
    </w:p>
    <w:p w14:paraId="20C2D36E" w14:textId="77777777" w:rsidR="00A819B3" w:rsidRDefault="00A819B3">
      <w:pPr>
        <w:pStyle w:val="BodyText"/>
      </w:pPr>
    </w:p>
    <w:p w14:paraId="20C2D36F" w14:textId="77777777" w:rsidR="00A819B3" w:rsidRDefault="00A819B3">
      <w:pPr>
        <w:pStyle w:val="BodyText"/>
      </w:pPr>
    </w:p>
    <w:p w14:paraId="20C2D370" w14:textId="77777777" w:rsidR="00A819B3" w:rsidRDefault="00A819B3">
      <w:pPr>
        <w:pStyle w:val="BodyText"/>
      </w:pPr>
    </w:p>
    <w:p w14:paraId="20C2D371" w14:textId="77777777" w:rsidR="00A819B3" w:rsidRDefault="00A819B3">
      <w:pPr>
        <w:pStyle w:val="BodyText"/>
      </w:pPr>
    </w:p>
    <w:p w14:paraId="20C2D372" w14:textId="77777777" w:rsidR="00A819B3" w:rsidRDefault="00A819B3">
      <w:pPr>
        <w:pStyle w:val="BodyText"/>
      </w:pPr>
    </w:p>
    <w:p w14:paraId="20C2D373" w14:textId="77777777" w:rsidR="00A819B3" w:rsidRDefault="00A819B3">
      <w:pPr>
        <w:pStyle w:val="BodyText"/>
      </w:pPr>
    </w:p>
    <w:p w14:paraId="20C2D374" w14:textId="77777777" w:rsidR="00A819B3" w:rsidRDefault="00A819B3">
      <w:pPr>
        <w:pStyle w:val="BodyText"/>
      </w:pPr>
    </w:p>
    <w:p w14:paraId="20C2D375" w14:textId="77777777" w:rsidR="00A819B3" w:rsidRDefault="00A819B3">
      <w:pPr>
        <w:pStyle w:val="BodyText"/>
      </w:pPr>
    </w:p>
    <w:p w14:paraId="20C2D376" w14:textId="77777777" w:rsidR="00A819B3" w:rsidRDefault="00A819B3">
      <w:pPr>
        <w:pStyle w:val="BodyText"/>
      </w:pPr>
    </w:p>
    <w:p w14:paraId="20C2D377" w14:textId="77777777" w:rsidR="00A819B3" w:rsidRDefault="00A819B3">
      <w:pPr>
        <w:pStyle w:val="BodyText"/>
      </w:pPr>
    </w:p>
    <w:p w14:paraId="20C2D378" w14:textId="77777777" w:rsidR="00A819B3" w:rsidRDefault="00A819B3">
      <w:pPr>
        <w:pStyle w:val="BodyText"/>
      </w:pPr>
    </w:p>
    <w:p w14:paraId="20C2D379" w14:textId="77777777" w:rsidR="00A819B3" w:rsidRDefault="00A819B3">
      <w:pPr>
        <w:pStyle w:val="BodyText"/>
      </w:pPr>
    </w:p>
    <w:p w14:paraId="20C2D37A" w14:textId="77777777" w:rsidR="00A819B3" w:rsidRDefault="00A819B3">
      <w:pPr>
        <w:pStyle w:val="BodyText"/>
      </w:pPr>
    </w:p>
    <w:p w14:paraId="20C2D37B" w14:textId="77777777" w:rsidR="00A819B3" w:rsidRDefault="00A819B3">
      <w:pPr>
        <w:pStyle w:val="BodyText"/>
      </w:pPr>
    </w:p>
    <w:p w14:paraId="20C2D37C" w14:textId="77777777" w:rsidR="00A819B3" w:rsidRDefault="00A819B3">
      <w:pPr>
        <w:pStyle w:val="BodyText"/>
      </w:pPr>
    </w:p>
    <w:p w14:paraId="20C2D37D" w14:textId="77777777" w:rsidR="00A819B3" w:rsidRDefault="00A819B3">
      <w:pPr>
        <w:pStyle w:val="BodyText"/>
      </w:pPr>
    </w:p>
    <w:p w14:paraId="20C2D37E" w14:textId="77777777" w:rsidR="00A819B3" w:rsidRDefault="00A819B3">
      <w:pPr>
        <w:pStyle w:val="BodyText"/>
      </w:pPr>
    </w:p>
    <w:p w14:paraId="20C2D37F" w14:textId="77777777" w:rsidR="00A819B3" w:rsidRDefault="00A819B3">
      <w:pPr>
        <w:pStyle w:val="BodyText"/>
      </w:pPr>
    </w:p>
    <w:p w14:paraId="20C2D380" w14:textId="77777777" w:rsidR="00A819B3" w:rsidRDefault="00A819B3">
      <w:pPr>
        <w:pStyle w:val="BodyText"/>
      </w:pPr>
    </w:p>
    <w:p w14:paraId="20C2D381" w14:textId="77777777" w:rsidR="00A819B3" w:rsidRDefault="00A819B3">
      <w:pPr>
        <w:pStyle w:val="BodyText"/>
      </w:pPr>
    </w:p>
    <w:p w14:paraId="20C2D382" w14:textId="77777777" w:rsidR="00A819B3" w:rsidRDefault="00A819B3">
      <w:pPr>
        <w:pStyle w:val="BodyText"/>
      </w:pPr>
    </w:p>
    <w:p w14:paraId="20C2D383" w14:textId="77777777" w:rsidR="00A819B3" w:rsidRDefault="00A819B3">
      <w:pPr>
        <w:pStyle w:val="BodyText"/>
      </w:pPr>
    </w:p>
    <w:p w14:paraId="20C2D384" w14:textId="77777777" w:rsidR="00A819B3" w:rsidRDefault="00A819B3">
      <w:pPr>
        <w:pStyle w:val="BodyText"/>
        <w:spacing w:before="4"/>
      </w:pPr>
    </w:p>
    <w:p w14:paraId="20C2D385" w14:textId="77777777" w:rsidR="00A819B3" w:rsidRDefault="002C721B">
      <w:pPr>
        <w:spacing w:line="242" w:lineRule="auto"/>
        <w:ind w:left="797" w:right="359"/>
        <w:rPr>
          <w:sz w:val="18"/>
        </w:rPr>
      </w:pPr>
      <w:r>
        <w:rPr>
          <w:sz w:val="18"/>
        </w:rPr>
        <w:t>За достъп до официалните и актуални текстове на правните инструменти на ОИСР, както и друга свързана информация, моля, направете справка със Сборника на правните инструменти на ОИСР на</w:t>
      </w:r>
      <w:r>
        <w:t xml:space="preserve"> </w:t>
      </w:r>
      <w:hyperlink r:id="rId10">
        <w:r>
          <w:rPr>
            <w:color w:val="0000ED"/>
            <w:sz w:val="18"/>
            <w:u w:val="single" w:color="0000ED"/>
          </w:rPr>
          <w:t>http://legalinstru</w:t>
        </w:r>
        <w:r>
          <w:rPr>
            <w:color w:val="0000ED"/>
            <w:sz w:val="18"/>
            <w:u w:val="single" w:color="0000ED"/>
          </w:rPr>
          <w:t>ments.oecd.org</w:t>
        </w:r>
      </w:hyperlink>
      <w:r>
        <w:t xml:space="preserve"> </w:t>
      </w:r>
      <w:r>
        <w:rPr>
          <w:sz w:val="18"/>
        </w:rPr>
        <w:t>.</w:t>
      </w:r>
    </w:p>
    <w:p w14:paraId="20C2D386" w14:textId="77777777" w:rsidR="00A819B3" w:rsidRDefault="002C721B">
      <w:pPr>
        <w:pStyle w:val="BodyText"/>
        <w:rPr>
          <w:sz w:val="14"/>
        </w:rPr>
      </w:pPr>
      <w:r>
        <w:pict w14:anchorId="20C2D3EB"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76.85pt;margin-top:9.3pt;width:441.5pt;height:21.5pt;z-index:-15727616;mso-wrap-distance-left:0;mso-wrap-distance-right:0;mso-position-horizontal-relative:page" fillcolor="#dcd8c2" stroked="f">
            <v:textbox inset="0,0,0,0">
              <w:txbxContent>
                <w:p w14:paraId="20C2D3F4" w14:textId="77777777" w:rsidR="00A819B3" w:rsidRDefault="002C721B">
                  <w:pPr>
                    <w:spacing w:before="1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>Моля, цитирайте този документ като:</w:t>
                  </w:r>
                </w:p>
                <w:p w14:paraId="20C2D3F5" w14:textId="77777777" w:rsidR="00A819B3" w:rsidRDefault="002C721B">
                  <w:pPr>
                    <w:spacing w:before="8"/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ОИСР, </w:t>
                  </w:r>
                  <w:r>
                    <w:rPr>
                      <w:i/>
                      <w:sz w:val="18"/>
                    </w:rPr>
                    <w:t>Препоръка на Съвета за интегрирано управление на крайбрежните зони</w:t>
                  </w:r>
                  <w:r>
                    <w:rPr>
                      <w:sz w:val="18"/>
                    </w:rPr>
                    <w:t>, OECD/LEGAL/0268</w:t>
                  </w:r>
                </w:p>
              </w:txbxContent>
            </v:textbox>
            <w10:wrap type="topAndBottom" anchorx="page"/>
          </v:shape>
        </w:pict>
      </w:r>
    </w:p>
    <w:p w14:paraId="20C2D387" w14:textId="77777777" w:rsidR="00A819B3" w:rsidRDefault="00A819B3">
      <w:pPr>
        <w:pStyle w:val="BodyText"/>
        <w:rPr>
          <w:sz w:val="15"/>
        </w:rPr>
      </w:pPr>
    </w:p>
    <w:p w14:paraId="20C2D388" w14:textId="77777777" w:rsidR="00A819B3" w:rsidRDefault="002C721B">
      <w:pPr>
        <w:spacing w:before="96"/>
        <w:ind w:left="797"/>
        <w:jc w:val="both"/>
        <w:rPr>
          <w:sz w:val="14"/>
        </w:rPr>
      </w:pPr>
      <w:r>
        <w:rPr>
          <w:sz w:val="14"/>
        </w:rPr>
        <w:t>Серия: Правни инструменти на ОИСР</w:t>
      </w:r>
    </w:p>
    <w:p w14:paraId="20C2D389" w14:textId="77777777" w:rsidR="00A819B3" w:rsidRDefault="00A819B3">
      <w:pPr>
        <w:pStyle w:val="BodyText"/>
        <w:rPr>
          <w:sz w:val="16"/>
        </w:rPr>
      </w:pPr>
    </w:p>
    <w:p w14:paraId="20C2D38A" w14:textId="77777777" w:rsidR="00A819B3" w:rsidRDefault="00A819B3">
      <w:pPr>
        <w:pStyle w:val="BodyText"/>
        <w:rPr>
          <w:sz w:val="16"/>
        </w:rPr>
      </w:pPr>
    </w:p>
    <w:p w14:paraId="20C2D38B" w14:textId="77777777" w:rsidR="00A819B3" w:rsidRDefault="00A819B3">
      <w:pPr>
        <w:pStyle w:val="BodyText"/>
        <w:spacing w:before="3"/>
        <w:rPr>
          <w:sz w:val="17"/>
        </w:rPr>
      </w:pPr>
    </w:p>
    <w:p w14:paraId="20C2D38C" w14:textId="77777777" w:rsidR="00A819B3" w:rsidRDefault="002C721B">
      <w:pPr>
        <w:ind w:left="797"/>
        <w:jc w:val="both"/>
        <w:rPr>
          <w:sz w:val="18"/>
        </w:rPr>
      </w:pPr>
      <w:r>
        <w:rPr>
          <w:sz w:val="18"/>
        </w:rPr>
        <w:t>© ОИСР 2021</w:t>
      </w:r>
    </w:p>
    <w:p w14:paraId="20C2D38D" w14:textId="77777777" w:rsidR="00A819B3" w:rsidRDefault="002C721B">
      <w:pPr>
        <w:pStyle w:val="BodyText"/>
        <w:rPr>
          <w:sz w:val="22"/>
        </w:rPr>
      </w:pPr>
      <w:r>
        <w:pict w14:anchorId="20C2D3EC">
          <v:rect id="_x0000_s1033" style="position:absolute;margin-left:76.85pt;margin-top:14.6pt;width:441.5pt;height:.5pt;z-index:-15727104;mso-wrap-distance-left:0;mso-wrap-distance-right:0;mso-position-horizontal-relative:page" fillcolor="black" stroked="f">
            <w10:wrap type="topAndBottom" anchorx="page"/>
          </v:rect>
        </w:pict>
      </w:r>
    </w:p>
    <w:p w14:paraId="20C2D38E" w14:textId="77777777" w:rsidR="00A819B3" w:rsidRDefault="002C721B">
      <w:pPr>
        <w:spacing w:before="83" w:line="242" w:lineRule="auto"/>
        <w:ind w:left="797" w:right="821"/>
        <w:jc w:val="both"/>
        <w:rPr>
          <w:sz w:val="12"/>
        </w:rPr>
      </w:pPr>
      <w:r>
        <w:rPr>
          <w:sz w:val="12"/>
        </w:rPr>
        <w:t>Този документ се предоставя безплатно. Може да се възпроизвежда и разпространява безплатно, без да се изискват допълнителни разрешения, стига да не се променя по никакъв начин. Не може да се продава.</w:t>
      </w:r>
    </w:p>
    <w:p w14:paraId="20C2D38F" w14:textId="77777777" w:rsidR="00A819B3" w:rsidRDefault="00A819B3">
      <w:pPr>
        <w:pStyle w:val="BodyText"/>
        <w:spacing w:before="6"/>
        <w:rPr>
          <w:sz w:val="10"/>
        </w:rPr>
      </w:pPr>
    </w:p>
    <w:p w14:paraId="20C2D390" w14:textId="77777777" w:rsidR="00A819B3" w:rsidRDefault="002C721B">
      <w:pPr>
        <w:spacing w:line="252" w:lineRule="auto"/>
        <w:ind w:left="797" w:right="817"/>
        <w:jc w:val="both"/>
        <w:rPr>
          <w:i/>
          <w:sz w:val="12"/>
        </w:rPr>
      </w:pPr>
      <w:r>
        <w:pict w14:anchorId="20C2D3ED">
          <v:rect id="_x0000_s1032" style="position:absolute;left:0;text-align:left;margin-left:76.85pt;margin-top:35.15pt;width:441.5pt;height:.5pt;z-index:-15726592;mso-wrap-distance-left:0;mso-wrap-distance-right:0;mso-position-horizontal-relative:page" fillcolor="black" stroked="f">
            <w10:wrap type="topAndBottom" anchorx="page"/>
          </v:rect>
        </w:pict>
      </w:r>
      <w:r>
        <w:rPr>
          <w:sz w:val="12"/>
        </w:rPr>
        <w:t>Този документ е достъпен на двата официални езика на О</w:t>
      </w:r>
      <w:r>
        <w:rPr>
          <w:sz w:val="12"/>
        </w:rPr>
        <w:t xml:space="preserve">ИСР (английски и френски). Може да бъде преведен на други езици, стига преводът да е обозначен като „неофициален превод“ и да включва следната декларация за отказ от отговорност: </w:t>
      </w:r>
      <w:r>
        <w:rPr>
          <w:i/>
          <w:sz w:val="12"/>
        </w:rPr>
        <w:t>„Този превод е изготвен от [ИМЕ НА АВТОРА НА ПРЕВОДА] само с информационна це</w:t>
      </w:r>
      <w:r>
        <w:rPr>
          <w:i/>
          <w:sz w:val="12"/>
        </w:rPr>
        <w:t>л и неговата точност не може да бъде гарантирана от ОИСР. Единствените официални версии са английските и френските текстове, достъпни на уебсайта на ОИСР</w:t>
      </w:r>
      <w:r>
        <w:t xml:space="preserve"> </w:t>
      </w:r>
      <w:hyperlink r:id="rId11">
        <w:r>
          <w:rPr>
            <w:i/>
            <w:color w:val="0000ED"/>
            <w:sz w:val="12"/>
            <w:u w:val="single" w:color="0000ED"/>
          </w:rPr>
          <w:t>http://legalinstruments.oecd.org</w:t>
        </w:r>
      </w:hyperlink>
      <w:r>
        <w:t xml:space="preserve"> </w:t>
      </w:r>
      <w:r>
        <w:rPr>
          <w:i/>
          <w:sz w:val="12"/>
        </w:rPr>
        <w:t>"</w:t>
      </w:r>
    </w:p>
    <w:p w14:paraId="20C2D391" w14:textId="77777777" w:rsidR="00A819B3" w:rsidRDefault="00A819B3">
      <w:pPr>
        <w:spacing w:line="252" w:lineRule="auto"/>
        <w:jc w:val="both"/>
        <w:rPr>
          <w:sz w:val="12"/>
        </w:rPr>
        <w:sectPr w:rsidR="00A819B3">
          <w:pgSz w:w="11910" w:h="16840"/>
          <w:pgMar w:top="1580" w:right="719" w:bottom="280" w:left="740" w:header="720" w:footer="720" w:gutter="0"/>
          <w:cols w:space="720"/>
        </w:sectPr>
      </w:pPr>
    </w:p>
    <w:p w14:paraId="20C2D392" w14:textId="0776495F" w:rsidR="00A819B3" w:rsidRPr="00507886" w:rsidRDefault="002C721B">
      <w:pPr>
        <w:pStyle w:val="BodyText"/>
        <w:tabs>
          <w:tab w:val="left" w:pos="2288"/>
        </w:tabs>
        <w:spacing w:before="70"/>
        <w:ind w:right="102"/>
        <w:jc w:val="right"/>
      </w:pPr>
      <w:r>
        <w:rPr>
          <w:color w:val="2B2A29"/>
        </w:rPr>
        <w:lastRenderedPageBreak/>
        <w:t>O</w:t>
      </w:r>
      <w:r w:rsidR="008145AA">
        <w:rPr>
          <w:color w:val="2B2A29"/>
          <w:lang/>
        </w:rPr>
        <w:t>ECD/LEGAL/02</w:t>
      </w:r>
      <w:r w:rsidR="00C60E9E">
        <w:rPr>
          <w:color w:val="2B2A29"/>
          <w:lang/>
        </w:rPr>
        <w:t>68</w:t>
      </w:r>
    </w:p>
    <w:p w14:paraId="20C2D393" w14:textId="77777777" w:rsidR="00A819B3" w:rsidRDefault="002C721B">
      <w:pPr>
        <w:pStyle w:val="BodyText"/>
        <w:spacing w:line="20" w:lineRule="exact"/>
        <w:ind w:left="103"/>
        <w:rPr>
          <w:sz w:val="2"/>
        </w:rPr>
      </w:pPr>
      <w:r>
        <w:rPr>
          <w:sz w:val="2"/>
        </w:rPr>
      </w:r>
      <w:r>
        <w:rPr>
          <w:sz w:val="2"/>
        </w:rPr>
        <w:pict w14:anchorId="20C2D3EF">
          <v:group id="_x0000_s1030" style="width:396.1pt;height:.65pt;mso-position-horizontal-relative:char;mso-position-vertical-relative:line" coordsize="7922,13">
            <v:line id="_x0000_s1031" style="position:absolute" from="0,6" to="7921,6" strokecolor="#2a2928" strokeweight=".63pt"/>
            <w10:anchorlock/>
          </v:group>
        </w:pict>
      </w:r>
    </w:p>
    <w:p w14:paraId="20C2D394" w14:textId="77777777" w:rsidR="00A819B3" w:rsidRDefault="00A819B3">
      <w:pPr>
        <w:pStyle w:val="BodyText"/>
        <w:spacing w:before="9"/>
        <w:rPr>
          <w:sz w:val="15"/>
        </w:rPr>
      </w:pPr>
    </w:p>
    <w:p w14:paraId="20C2D395" w14:textId="77777777" w:rsidR="00A819B3" w:rsidRDefault="002C721B">
      <w:pPr>
        <w:pStyle w:val="Heading1"/>
        <w:spacing w:before="93"/>
        <w:ind w:left="797"/>
      </w:pPr>
      <w:r>
        <w:rPr>
          <w:color w:val="1E487C"/>
        </w:rPr>
        <w:t>Обща информация</w:t>
      </w:r>
    </w:p>
    <w:p w14:paraId="20C2D396" w14:textId="77777777" w:rsidR="00A819B3" w:rsidRDefault="00A819B3">
      <w:pPr>
        <w:pStyle w:val="BodyText"/>
        <w:rPr>
          <w:b/>
          <w:sz w:val="26"/>
        </w:rPr>
      </w:pPr>
    </w:p>
    <w:p w14:paraId="20C2D397" w14:textId="77777777" w:rsidR="00A819B3" w:rsidRDefault="00A819B3">
      <w:pPr>
        <w:pStyle w:val="BodyText"/>
        <w:spacing w:before="3"/>
        <w:rPr>
          <w:b/>
          <w:sz w:val="23"/>
        </w:rPr>
      </w:pPr>
    </w:p>
    <w:p w14:paraId="20C2D398" w14:textId="77777777" w:rsidR="00A819B3" w:rsidRDefault="002C721B">
      <w:pPr>
        <w:pStyle w:val="BodyText"/>
        <w:ind w:left="797" w:right="814"/>
        <w:jc w:val="both"/>
      </w:pPr>
      <w:r>
        <w:t>Препоръката за интегрирано управление на крайбрежните зони е приета от Съвета на ОИСР на 23 юли 1992 г. по предложение на Комитета по екологична политика. Препоръката има за цел да постигне целите за е</w:t>
      </w:r>
      <w:r>
        <w:t>кологично устойчиво развитие и интегрирано управление на ресурсите, като препоръчва на присъединилите се страни да разработват и прилагат стратегическо планиране и интегрирано управление на крайбрежните зони. По-конкретно, препоръката съветва присъединилит</w:t>
      </w:r>
      <w:r>
        <w:t>е се страни да дефинират цели на политиката, специфични за бреговете и техните ресурси, да хармонизират секторните политики, засягащи управлението на крайбрежните зони, да постигнат устойчиво управление и опазване на риболовните ресурси, устойчив туризъм в</w:t>
      </w:r>
      <w:r>
        <w:t xml:space="preserve"> крайбрежните зони и да си сътрудничат в международен план при управлението на общи крайбрежни зони.</w:t>
      </w:r>
    </w:p>
    <w:p w14:paraId="20C2D399" w14:textId="77777777" w:rsidR="00A819B3" w:rsidRDefault="00A819B3">
      <w:pPr>
        <w:jc w:val="both"/>
        <w:sectPr w:rsidR="00A819B3">
          <w:pgSz w:w="11910" w:h="16840"/>
          <w:pgMar w:top="760" w:right="719" w:bottom="280" w:left="740" w:header="720" w:footer="720" w:gutter="0"/>
          <w:cols w:space="720"/>
        </w:sectPr>
      </w:pPr>
    </w:p>
    <w:p w14:paraId="20C2D39A" w14:textId="48B014BE" w:rsidR="00A819B3" w:rsidRPr="00507886" w:rsidRDefault="00507886">
      <w:pPr>
        <w:pStyle w:val="BodyText"/>
        <w:tabs>
          <w:tab w:val="left" w:pos="677"/>
        </w:tabs>
        <w:spacing w:before="69"/>
        <w:ind w:left="110"/>
        <w:rPr>
          <w:lang/>
        </w:rPr>
      </w:pPr>
      <w:r>
        <w:rPr>
          <w:b/>
          <w:color w:val="2B2A29"/>
          <w:u w:val="single" w:color="2A2928"/>
          <w:lang/>
        </w:rPr>
        <w:lastRenderedPageBreak/>
        <w:t>OECD/</w:t>
      </w:r>
      <w:r w:rsidR="002C721B">
        <w:rPr>
          <w:b/>
          <w:color w:val="2B2A29"/>
          <w:u w:val="single" w:color="2A2928"/>
          <w:lang/>
        </w:rPr>
        <w:t>LEGAL/0268</w:t>
      </w:r>
    </w:p>
    <w:p w14:paraId="20C2D39B" w14:textId="77777777" w:rsidR="00A819B3" w:rsidRDefault="002C721B">
      <w:pPr>
        <w:pStyle w:val="BodyText"/>
        <w:spacing w:line="20" w:lineRule="exact"/>
        <w:ind w:left="2413"/>
        <w:rPr>
          <w:sz w:val="2"/>
        </w:rPr>
      </w:pPr>
      <w:r>
        <w:rPr>
          <w:sz w:val="2"/>
        </w:rPr>
      </w:r>
      <w:r>
        <w:rPr>
          <w:sz w:val="2"/>
        </w:rPr>
        <w:pict w14:anchorId="20C2D3F1">
          <v:group id="_x0000_s1028" style="width:396.1pt;height:.65pt;mso-position-horizontal-relative:char;mso-position-vertical-relative:line" coordsize="7922,13">
            <v:line id="_x0000_s1029" style="position:absolute" from="0,6" to="7921,6" strokecolor="#2a2928" strokeweight=".63pt"/>
            <w10:anchorlock/>
          </v:group>
        </w:pict>
      </w:r>
    </w:p>
    <w:p w14:paraId="20C2D39C" w14:textId="77777777" w:rsidR="00A819B3" w:rsidRDefault="00A819B3">
      <w:pPr>
        <w:pStyle w:val="BodyText"/>
        <w:rPr>
          <w:sz w:val="15"/>
        </w:rPr>
      </w:pPr>
    </w:p>
    <w:p w14:paraId="20C2D39D" w14:textId="77777777" w:rsidR="00A819B3" w:rsidRDefault="002C721B">
      <w:pPr>
        <w:pStyle w:val="Heading2"/>
        <w:spacing w:before="93"/>
      </w:pPr>
      <w:r>
        <w:t>СЪВЕТЪТ,</w:t>
      </w:r>
    </w:p>
    <w:p w14:paraId="20C2D39E" w14:textId="77777777" w:rsidR="00A819B3" w:rsidRDefault="00A819B3">
      <w:pPr>
        <w:pStyle w:val="BodyText"/>
        <w:spacing w:before="11"/>
        <w:rPr>
          <w:b/>
        </w:rPr>
      </w:pPr>
    </w:p>
    <w:p w14:paraId="20C2D39F" w14:textId="77777777" w:rsidR="00A819B3" w:rsidRDefault="002C721B">
      <w:pPr>
        <w:pStyle w:val="BodyText"/>
        <w:spacing w:line="242" w:lineRule="auto"/>
        <w:ind w:left="676" w:right="694"/>
        <w:jc w:val="both"/>
      </w:pPr>
      <w:r>
        <w:rPr>
          <w:b/>
        </w:rPr>
        <w:t>КАТО ВЗЕ ПРЕДВИД</w:t>
      </w:r>
      <w:r>
        <w:t xml:space="preserve"> член 5б) от Конвенцията за Организацията за икономическо сътрудничество и развитие от 14 декември 1960 г.;</w:t>
      </w:r>
    </w:p>
    <w:p w14:paraId="20C2D3A0" w14:textId="77777777" w:rsidR="00A819B3" w:rsidRDefault="00A819B3">
      <w:pPr>
        <w:pStyle w:val="BodyText"/>
        <w:spacing w:before="6"/>
      </w:pPr>
    </w:p>
    <w:p w14:paraId="20C2D3A1" w14:textId="77777777" w:rsidR="00A819B3" w:rsidRDefault="002C721B">
      <w:pPr>
        <w:pStyle w:val="BodyText"/>
        <w:spacing w:line="242" w:lineRule="auto"/>
        <w:ind w:left="676" w:right="696"/>
        <w:jc w:val="both"/>
      </w:pPr>
      <w:r>
        <w:rPr>
          <w:b/>
        </w:rPr>
        <w:t>КАТО ВЗЕ ПРЕДВИД</w:t>
      </w:r>
      <w:r>
        <w:t xml:space="preserve"> Препоръката на Съвета относно принципите за управление на крайбрежи</w:t>
      </w:r>
      <w:r>
        <w:t>ето от 12 октомври 1976 г. [C(76)161(Final)];</w:t>
      </w:r>
    </w:p>
    <w:p w14:paraId="20C2D3A2" w14:textId="77777777" w:rsidR="00A819B3" w:rsidRDefault="00A819B3">
      <w:pPr>
        <w:pStyle w:val="BodyText"/>
        <w:spacing w:before="4"/>
      </w:pPr>
    </w:p>
    <w:p w14:paraId="20C2D3A3" w14:textId="77777777" w:rsidR="00A819B3" w:rsidRDefault="002C721B">
      <w:pPr>
        <w:pStyle w:val="BodyText"/>
        <w:spacing w:line="242" w:lineRule="auto"/>
        <w:ind w:left="676" w:right="693"/>
        <w:jc w:val="both"/>
      </w:pPr>
      <w:r>
        <w:rPr>
          <w:b/>
        </w:rPr>
        <w:t>КАТО ВЗЕ ПРЕДВИД</w:t>
      </w:r>
      <w:r>
        <w:t xml:space="preserve"> Препоръката на Съвета по околната среда и туризма от 8 май 1979 г. [C(79)115];</w:t>
      </w:r>
    </w:p>
    <w:p w14:paraId="20C2D3A4" w14:textId="77777777" w:rsidR="00A819B3" w:rsidRDefault="00A819B3">
      <w:pPr>
        <w:pStyle w:val="BodyText"/>
        <w:spacing w:before="6"/>
      </w:pPr>
    </w:p>
    <w:p w14:paraId="20C2D3A5" w14:textId="77777777" w:rsidR="00A819B3" w:rsidRDefault="002C721B">
      <w:pPr>
        <w:pStyle w:val="BodyText"/>
        <w:spacing w:line="242" w:lineRule="auto"/>
        <w:ind w:left="676" w:right="702"/>
        <w:jc w:val="both"/>
      </w:pPr>
      <w:r>
        <w:rPr>
          <w:b/>
        </w:rPr>
        <w:t>КАТО ВЗЕ ПРЕДВИД</w:t>
      </w:r>
      <w:r>
        <w:t xml:space="preserve"> Препоръката на Съвета за оценка на проекти със значително въздействие върху околната среда от 8</w:t>
      </w:r>
      <w:r>
        <w:t xml:space="preserve"> май 1979 г. [C(79)116];</w:t>
      </w:r>
    </w:p>
    <w:p w14:paraId="20C2D3A6" w14:textId="77777777" w:rsidR="00A819B3" w:rsidRDefault="00A819B3">
      <w:pPr>
        <w:pStyle w:val="BodyText"/>
        <w:spacing w:before="6"/>
      </w:pPr>
    </w:p>
    <w:p w14:paraId="20C2D3A7" w14:textId="77777777" w:rsidR="00A819B3" w:rsidRDefault="002C721B">
      <w:pPr>
        <w:pStyle w:val="BodyText"/>
        <w:spacing w:before="1" w:line="242" w:lineRule="auto"/>
        <w:ind w:left="676" w:right="703"/>
        <w:jc w:val="both"/>
      </w:pPr>
      <w:r>
        <w:rPr>
          <w:b/>
        </w:rPr>
        <w:t>КАТО ВЗЕ ПРЕДВИД</w:t>
      </w:r>
      <w:r>
        <w:t xml:space="preserve"> Препоръката на Съвета относно политиките за управление на водните ресурси: Интеграция, управление на потреблението и защита на подземните води от 31 март 1989 г. [C(89)12(Final)];</w:t>
      </w:r>
    </w:p>
    <w:p w14:paraId="20C2D3A8" w14:textId="77777777" w:rsidR="00A819B3" w:rsidRDefault="00A819B3">
      <w:pPr>
        <w:pStyle w:val="BodyText"/>
        <w:spacing w:before="4"/>
      </w:pPr>
    </w:p>
    <w:p w14:paraId="20C2D3A9" w14:textId="77777777" w:rsidR="00A819B3" w:rsidRDefault="002C721B">
      <w:pPr>
        <w:pStyle w:val="BodyText"/>
        <w:spacing w:line="242" w:lineRule="auto"/>
        <w:ind w:left="676" w:right="691"/>
        <w:jc w:val="both"/>
      </w:pPr>
      <w:r>
        <w:rPr>
          <w:b/>
        </w:rPr>
        <w:t>КАТО ВЗЕ ПРЕДВИД</w:t>
      </w:r>
      <w:r>
        <w:t xml:space="preserve"> Препоръката на Съвета относно използването на икономически инструменти в политиката в областта на околната среда от 31 януари 1991 г. [C(90)177/FINAL];</w:t>
      </w:r>
    </w:p>
    <w:p w14:paraId="20C2D3AA" w14:textId="77777777" w:rsidR="00A819B3" w:rsidRDefault="00A819B3">
      <w:pPr>
        <w:pStyle w:val="BodyText"/>
        <w:spacing w:before="6"/>
      </w:pPr>
    </w:p>
    <w:p w14:paraId="20C2D3AB" w14:textId="77777777" w:rsidR="00A819B3" w:rsidRDefault="002C721B">
      <w:pPr>
        <w:pStyle w:val="BodyText"/>
        <w:spacing w:line="242" w:lineRule="auto"/>
        <w:ind w:left="676" w:right="698"/>
        <w:jc w:val="both"/>
      </w:pPr>
      <w:r>
        <w:rPr>
          <w:b/>
        </w:rPr>
        <w:t>КАТО ПРИЗНА</w:t>
      </w:r>
      <w:r>
        <w:t xml:space="preserve"> значителната социална, икономическа и екологична стойност на крайбрежните зони и техните р</w:t>
      </w:r>
      <w:r>
        <w:t>есурси, както и тяхната стойност за коренното население, както и натиска, упражняван от противоречиви изисквания върху крайбрежните зони и техните природни ресурси, водещи до влошаване на околната среда и екосистемите;</w:t>
      </w:r>
    </w:p>
    <w:p w14:paraId="20C2D3AC" w14:textId="77777777" w:rsidR="00A819B3" w:rsidRDefault="00A819B3">
      <w:pPr>
        <w:pStyle w:val="BodyText"/>
      </w:pPr>
    </w:p>
    <w:p w14:paraId="20C2D3AD" w14:textId="77777777" w:rsidR="00A819B3" w:rsidRDefault="002C721B">
      <w:pPr>
        <w:pStyle w:val="BodyText"/>
        <w:spacing w:line="242" w:lineRule="auto"/>
        <w:ind w:left="676" w:right="706"/>
        <w:jc w:val="both"/>
      </w:pPr>
      <w:r>
        <w:rPr>
          <w:b/>
        </w:rPr>
        <w:t>КАТО ПРИЗНА</w:t>
      </w:r>
      <w:r>
        <w:t xml:space="preserve"> потенциалното въздействи</w:t>
      </w:r>
      <w:r>
        <w:t>е върху крайбрежните зони и океаните от повишаването на морското равнище, свързано с изменението на климата;</w:t>
      </w:r>
    </w:p>
    <w:p w14:paraId="20C2D3AE" w14:textId="77777777" w:rsidR="00A819B3" w:rsidRDefault="00A819B3">
      <w:pPr>
        <w:pStyle w:val="BodyText"/>
        <w:spacing w:before="6"/>
      </w:pPr>
    </w:p>
    <w:p w14:paraId="20C2D3AF" w14:textId="77777777" w:rsidR="00A819B3" w:rsidRDefault="002C721B">
      <w:pPr>
        <w:pStyle w:val="BodyText"/>
        <w:spacing w:before="1"/>
        <w:ind w:left="676" w:right="697"/>
        <w:jc w:val="both"/>
      </w:pPr>
      <w:r>
        <w:rPr>
          <w:b/>
        </w:rPr>
        <w:t>КАТО ОТЧЕТЕ,</w:t>
      </w:r>
      <w:r>
        <w:t xml:space="preserve"> че Комитетът по околната среда на ОИСР на министерско ниво потвърди значението на международното сътрудничество при изготвянето на екологичната политика и се съгласи, че ключът към устойчивото развитие е в пълното интегриране на икономическите и екологичн</w:t>
      </w:r>
      <w:r>
        <w:t xml:space="preserve">ите политики и че, </w:t>
      </w:r>
      <w:r>
        <w:rPr>
          <w:i/>
        </w:rPr>
        <w:t>inter alia</w:t>
      </w:r>
      <w:r>
        <w:t>, икономическите инструменти следва да се използват във връзка с регулациите за постигане на интеграция на политиката;</w:t>
      </w:r>
    </w:p>
    <w:p w14:paraId="20C2D3B0" w14:textId="77777777" w:rsidR="00A819B3" w:rsidRDefault="00A819B3">
      <w:pPr>
        <w:pStyle w:val="BodyText"/>
        <w:spacing w:before="10"/>
      </w:pPr>
    </w:p>
    <w:p w14:paraId="20C2D3B1" w14:textId="77777777" w:rsidR="00A819B3" w:rsidRDefault="002C721B">
      <w:pPr>
        <w:pStyle w:val="BodyText"/>
        <w:spacing w:line="242" w:lineRule="auto"/>
        <w:ind w:left="676" w:right="704"/>
        <w:jc w:val="both"/>
      </w:pPr>
      <w:r>
        <w:rPr>
          <w:b/>
        </w:rPr>
        <w:t>КАТО ОТЧЕТЕ,</w:t>
      </w:r>
      <w:r>
        <w:t xml:space="preserve"> че министрите на околната среда са идентифицирали крайбрежните зони и океаните като области, в</w:t>
      </w:r>
      <w:r>
        <w:t xml:space="preserve"> които се изисква подобрена интеграция на политиките чрез интегрирани стратегии за управление на ресурсите и цялостно планиране на земеползването;</w:t>
      </w:r>
    </w:p>
    <w:p w14:paraId="20C2D3B2" w14:textId="77777777" w:rsidR="00A819B3" w:rsidRDefault="00A819B3">
      <w:pPr>
        <w:pStyle w:val="BodyText"/>
        <w:spacing w:before="4"/>
      </w:pPr>
    </w:p>
    <w:p w14:paraId="20C2D3B3" w14:textId="77777777" w:rsidR="00A819B3" w:rsidRDefault="002C721B">
      <w:pPr>
        <w:pStyle w:val="BodyText"/>
        <w:ind w:left="676" w:right="700"/>
        <w:jc w:val="both"/>
      </w:pPr>
      <w:r>
        <w:rPr>
          <w:b/>
        </w:rPr>
        <w:t>КАТО ОТЧЕТЕ</w:t>
      </w:r>
      <w:r>
        <w:rPr>
          <w:b/>
        </w:rPr>
        <w:t>,</w:t>
      </w:r>
      <w:r>
        <w:t xml:space="preserve"> че министрите на околната среда потвърдиха отново, че принципът на предпазливостта ще ръководи </w:t>
      </w:r>
      <w:r>
        <w:t>техния подход, когато са изправени пред заплахи от сериозни необратими щети в околната среда, т.е. че липсата на пълна научна сигурност няма да се използва като причина за отлагане на мерките за предотвратяване на влошаването на околната среда;</w:t>
      </w:r>
    </w:p>
    <w:p w14:paraId="20C2D3B4" w14:textId="77777777" w:rsidR="00A819B3" w:rsidRDefault="00A819B3">
      <w:pPr>
        <w:pStyle w:val="BodyText"/>
        <w:spacing w:before="9"/>
      </w:pPr>
    </w:p>
    <w:p w14:paraId="20C2D3B5" w14:textId="77777777" w:rsidR="00A819B3" w:rsidRDefault="002C721B">
      <w:pPr>
        <w:pStyle w:val="BodyText"/>
        <w:spacing w:line="242" w:lineRule="auto"/>
        <w:ind w:left="676" w:right="695"/>
        <w:jc w:val="both"/>
      </w:pPr>
      <w:r>
        <w:rPr>
          <w:b/>
        </w:rPr>
        <w:t>КАТО ВЗЕ П</w:t>
      </w:r>
      <w:r>
        <w:rPr>
          <w:b/>
        </w:rPr>
        <w:t>РЕДВИД</w:t>
      </w:r>
      <w:r>
        <w:t xml:space="preserve"> доклада, озаглавен „Управление на крайбрежните зони: Интегрирани политики“, който предоставя насоки на страните-членки за прилагане на тази препоръка [ENV/EPOC(92)3];</w:t>
      </w:r>
    </w:p>
    <w:p w14:paraId="20C2D3B6" w14:textId="77777777" w:rsidR="00A819B3" w:rsidRDefault="00A819B3">
      <w:pPr>
        <w:pStyle w:val="BodyText"/>
        <w:spacing w:before="6"/>
      </w:pPr>
    </w:p>
    <w:p w14:paraId="20C2D3B7" w14:textId="77777777" w:rsidR="00A819B3" w:rsidRDefault="002C721B">
      <w:pPr>
        <w:pStyle w:val="Heading2"/>
      </w:pPr>
      <w:r>
        <w:t>По предложение на Комитета по екологична политика:</w:t>
      </w:r>
    </w:p>
    <w:p w14:paraId="20C2D3B8" w14:textId="77777777" w:rsidR="00A819B3" w:rsidRDefault="00A819B3">
      <w:pPr>
        <w:pStyle w:val="BodyText"/>
        <w:spacing w:before="8"/>
        <w:rPr>
          <w:b/>
        </w:rPr>
      </w:pPr>
    </w:p>
    <w:p w14:paraId="20C2D3B9" w14:textId="77777777" w:rsidR="00A819B3" w:rsidRDefault="002C721B">
      <w:pPr>
        <w:pStyle w:val="ListParagraph"/>
        <w:numPr>
          <w:ilvl w:val="0"/>
          <w:numId w:val="2"/>
        </w:numPr>
        <w:tabs>
          <w:tab w:val="left" w:pos="1396"/>
          <w:tab w:val="left" w:pos="1397"/>
        </w:tabs>
        <w:spacing w:line="242" w:lineRule="auto"/>
        <w:ind w:firstLine="0"/>
        <w:jc w:val="both"/>
        <w:rPr>
          <w:sz w:val="20"/>
        </w:rPr>
      </w:pPr>
      <w:r>
        <w:rPr>
          <w:b/>
          <w:sz w:val="20"/>
        </w:rPr>
        <w:t>ПРЕПОРЪЧВА</w:t>
      </w:r>
      <w:r>
        <w:rPr>
          <w:sz w:val="20"/>
        </w:rPr>
        <w:t>, за да подпомогнат постигането на целите за екологично устойчиво развитие и интегрирано управление на ресурсите, страните-членки следва да разработят и приложат стратегическото планиране и инте</w:t>
      </w:r>
      <w:r>
        <w:rPr>
          <w:sz w:val="20"/>
        </w:rPr>
        <w:t>грираното управление на крайбрежните зони чрез:</w:t>
      </w:r>
    </w:p>
    <w:p w14:paraId="20C2D3BA" w14:textId="77777777" w:rsidR="00A819B3" w:rsidRDefault="00A819B3">
      <w:pPr>
        <w:pStyle w:val="BodyText"/>
        <w:spacing w:before="5"/>
      </w:pPr>
    </w:p>
    <w:p w14:paraId="20C2D3BB" w14:textId="77777777" w:rsidR="00A819B3" w:rsidRDefault="002C721B">
      <w:pPr>
        <w:pStyle w:val="ListParagraph"/>
        <w:numPr>
          <w:ilvl w:val="1"/>
          <w:numId w:val="2"/>
        </w:numPr>
        <w:tabs>
          <w:tab w:val="left" w:pos="1810"/>
        </w:tabs>
        <w:spacing w:before="1"/>
        <w:rPr>
          <w:sz w:val="20"/>
        </w:rPr>
      </w:pPr>
      <w:r>
        <w:rPr>
          <w:sz w:val="20"/>
        </w:rPr>
        <w:t>Определяне на политически цели, специфични за крайбрежието и техните ресурси за предоставяне на насоки и подобряване на координацията на национални, регионални и местни правителствени стратегии/планове за кр</w:t>
      </w:r>
      <w:r>
        <w:rPr>
          <w:sz w:val="20"/>
        </w:rPr>
        <w:t>айбрежните зони;</w:t>
      </w:r>
    </w:p>
    <w:p w14:paraId="20C2D3BC" w14:textId="77777777" w:rsidR="00A819B3" w:rsidRDefault="002C721B">
      <w:pPr>
        <w:pStyle w:val="ListParagraph"/>
        <w:numPr>
          <w:ilvl w:val="1"/>
          <w:numId w:val="2"/>
        </w:numPr>
        <w:tabs>
          <w:tab w:val="left" w:pos="1810"/>
        </w:tabs>
        <w:spacing w:before="118"/>
        <w:ind w:right="705"/>
        <w:rPr>
          <w:sz w:val="20"/>
        </w:rPr>
      </w:pPr>
      <w:r>
        <w:rPr>
          <w:sz w:val="20"/>
        </w:rPr>
        <w:t>Засилване на интеграцията и хармонизацията на секторните политики, засягащи управлението на крайбрежните зони и използването на ресурсите.</w:t>
      </w:r>
    </w:p>
    <w:p w14:paraId="20C2D3BD" w14:textId="77777777" w:rsidR="00A819B3" w:rsidRDefault="00A819B3">
      <w:pPr>
        <w:jc w:val="both"/>
        <w:rPr>
          <w:sz w:val="20"/>
        </w:rPr>
        <w:sectPr w:rsidR="00A819B3">
          <w:pgSz w:w="11910" w:h="16840"/>
          <w:pgMar w:top="760" w:right="720" w:bottom="280" w:left="740" w:header="720" w:footer="720" w:gutter="0"/>
          <w:cols w:space="720"/>
        </w:sectPr>
      </w:pPr>
    </w:p>
    <w:p w14:paraId="20C2D3BE" w14:textId="741DD8C2" w:rsidR="00A819B3" w:rsidRPr="002C721B" w:rsidRDefault="002C721B">
      <w:pPr>
        <w:pStyle w:val="BodyText"/>
        <w:tabs>
          <w:tab w:val="left" w:pos="2288"/>
        </w:tabs>
        <w:spacing w:before="69"/>
        <w:ind w:right="102"/>
        <w:jc w:val="right"/>
        <w:rPr>
          <w:lang/>
        </w:rPr>
      </w:pPr>
      <w:r>
        <w:rPr>
          <w:color w:val="2B2A29"/>
          <w:lang/>
        </w:rPr>
        <w:lastRenderedPageBreak/>
        <w:t>OECD/LEGAL/0268</w:t>
      </w:r>
    </w:p>
    <w:p w14:paraId="20C2D3BF" w14:textId="77777777" w:rsidR="00A819B3" w:rsidRDefault="002C721B">
      <w:pPr>
        <w:pStyle w:val="BodyText"/>
        <w:spacing w:line="20" w:lineRule="exact"/>
        <w:ind w:left="103"/>
        <w:rPr>
          <w:sz w:val="2"/>
        </w:rPr>
      </w:pPr>
      <w:r>
        <w:rPr>
          <w:sz w:val="2"/>
        </w:rPr>
      </w:r>
      <w:r>
        <w:rPr>
          <w:sz w:val="2"/>
        </w:rPr>
        <w:pict w14:anchorId="20C2D3F3">
          <v:group id="_x0000_s1026" style="width:396.1pt;height:.65pt;mso-position-horizontal-relative:char;mso-position-vertical-relative:line" coordsize="7922,13">
            <v:line id="_x0000_s1027" style="position:absolute" from="0,6" to="7921,6" strokecolor="#2a2928" strokeweight=".63pt"/>
            <w10:anchorlock/>
          </v:group>
        </w:pict>
      </w:r>
    </w:p>
    <w:p w14:paraId="20C2D3C0" w14:textId="77777777" w:rsidR="00A819B3" w:rsidRDefault="00A819B3">
      <w:pPr>
        <w:pStyle w:val="BodyText"/>
        <w:spacing w:before="3"/>
        <w:rPr>
          <w:sz w:val="15"/>
        </w:rPr>
      </w:pPr>
    </w:p>
    <w:p w14:paraId="20C2D3C1" w14:textId="77777777" w:rsidR="00A819B3" w:rsidRDefault="002C721B">
      <w:pPr>
        <w:pStyle w:val="BodyText"/>
        <w:spacing w:before="92"/>
        <w:ind w:left="676" w:right="694"/>
        <w:jc w:val="both"/>
      </w:pPr>
      <w:r>
        <w:t>Това може да се постигне чрез по-ефективно използване или разширяване на съществуващите структури за планиране и управление и чрез определяне на орган, който да координира действията. Необходимите ресурси за тази координация да бъдат осигурени о</w:t>
      </w:r>
      <w:r>
        <w:t>т всички заинтересовани нива на управление;</w:t>
      </w:r>
    </w:p>
    <w:p w14:paraId="20C2D3C2" w14:textId="77777777" w:rsidR="00A819B3" w:rsidRDefault="00A819B3">
      <w:pPr>
        <w:pStyle w:val="BodyText"/>
        <w:spacing w:before="10"/>
      </w:pPr>
    </w:p>
    <w:p w14:paraId="20C2D3C3" w14:textId="77777777" w:rsidR="00A819B3" w:rsidRDefault="002C721B">
      <w:pPr>
        <w:pStyle w:val="ListParagraph"/>
        <w:numPr>
          <w:ilvl w:val="0"/>
          <w:numId w:val="2"/>
        </w:numPr>
        <w:tabs>
          <w:tab w:val="left" w:pos="1397"/>
        </w:tabs>
        <w:spacing w:line="242" w:lineRule="auto"/>
        <w:ind w:firstLine="0"/>
        <w:jc w:val="both"/>
        <w:rPr>
          <w:sz w:val="20"/>
        </w:rPr>
      </w:pPr>
      <w:r>
        <w:rPr>
          <w:b/>
          <w:sz w:val="20"/>
        </w:rPr>
        <w:t>ПРЕПОРЪЧВА</w:t>
      </w:r>
      <w:r>
        <w:rPr>
          <w:sz w:val="20"/>
        </w:rPr>
        <w:t>, с оглед на разнообразните и често противоречиви употреби и натиск върху ресурсите на крайбрежните зони, страните-членки да използват политически инструменти, поотделно или в комбинация, в интегрирано</w:t>
      </w:r>
      <w:r>
        <w:rPr>
          <w:sz w:val="20"/>
        </w:rPr>
        <w:t>то планиране и управление на крайбрежните зони, включително:</w:t>
      </w:r>
    </w:p>
    <w:p w14:paraId="20C2D3C4" w14:textId="77777777" w:rsidR="00A819B3" w:rsidRDefault="00A819B3">
      <w:pPr>
        <w:pStyle w:val="BodyText"/>
        <w:spacing w:before="2"/>
      </w:pPr>
    </w:p>
    <w:p w14:paraId="20C2D3C5" w14:textId="77777777" w:rsidR="00A819B3" w:rsidRDefault="002C721B">
      <w:pPr>
        <w:pStyle w:val="ListParagraph"/>
        <w:numPr>
          <w:ilvl w:val="1"/>
          <w:numId w:val="2"/>
        </w:numPr>
        <w:tabs>
          <w:tab w:val="left" w:pos="1810"/>
        </w:tabs>
        <w:spacing w:before="1"/>
        <w:ind w:right="705"/>
        <w:rPr>
          <w:sz w:val="20"/>
        </w:rPr>
      </w:pPr>
      <w:r>
        <w:rPr>
          <w:sz w:val="20"/>
        </w:rPr>
        <w:t>Събиране и актуализиране на релевантна информация и разработване на индикатори за крайбрежна околна среда, които да ръководят планирането и мониторинга на дейностите и процесите в крайбрежните зони;</w:t>
      </w:r>
    </w:p>
    <w:p w14:paraId="20C2D3C6" w14:textId="77777777" w:rsidR="00A819B3" w:rsidRDefault="002C721B">
      <w:pPr>
        <w:pStyle w:val="ListParagraph"/>
        <w:numPr>
          <w:ilvl w:val="1"/>
          <w:numId w:val="2"/>
        </w:numPr>
        <w:tabs>
          <w:tab w:val="left" w:pos="1810"/>
        </w:tabs>
        <w:spacing w:before="120"/>
        <w:ind w:right="695"/>
        <w:rPr>
          <w:sz w:val="20"/>
        </w:rPr>
      </w:pPr>
      <w:r>
        <w:rPr>
          <w:sz w:val="20"/>
        </w:rPr>
        <w:t xml:space="preserve">Установяване на екологични цели за: планиране и зониране </w:t>
      </w:r>
      <w:r>
        <w:rPr>
          <w:sz w:val="20"/>
        </w:rPr>
        <w:t>на земеползването, планиране на крайбрежните води (включително вътрешни води, полузатворени морета, устия), изисквания за опазване, защита и възстановяване на екосистемите, граници на заустване, качество на водата за приемане на води и води, вливащи се в к</w:t>
      </w:r>
      <w:r>
        <w:rPr>
          <w:sz w:val="20"/>
        </w:rPr>
        <w:t>райбрежните зони и контрол и намаляване на вливащи се замърсяващи и опасни вещества;</w:t>
      </w:r>
    </w:p>
    <w:p w14:paraId="20C2D3C7" w14:textId="77777777" w:rsidR="00A819B3" w:rsidRDefault="002C721B">
      <w:pPr>
        <w:pStyle w:val="ListParagraph"/>
        <w:numPr>
          <w:ilvl w:val="1"/>
          <w:numId w:val="2"/>
        </w:numPr>
        <w:tabs>
          <w:tab w:val="left" w:pos="1810"/>
        </w:tabs>
        <w:spacing w:before="117"/>
        <w:ind w:right="700"/>
        <w:rPr>
          <w:sz w:val="20"/>
        </w:rPr>
      </w:pPr>
      <w:r>
        <w:rPr>
          <w:sz w:val="20"/>
        </w:rPr>
        <w:t>Създаване и поддържане на процедури за мониторинг и прилагане на екологични цели и задачи;</w:t>
      </w:r>
    </w:p>
    <w:p w14:paraId="20C2D3C8" w14:textId="77777777" w:rsidR="00A819B3" w:rsidRDefault="002C721B">
      <w:pPr>
        <w:pStyle w:val="ListParagraph"/>
        <w:numPr>
          <w:ilvl w:val="1"/>
          <w:numId w:val="2"/>
        </w:numPr>
        <w:tabs>
          <w:tab w:val="left" w:pos="1810"/>
        </w:tabs>
        <w:spacing w:before="120"/>
        <w:ind w:right="0" w:hanging="426"/>
        <w:rPr>
          <w:sz w:val="20"/>
        </w:rPr>
      </w:pPr>
      <w:r>
        <w:rPr>
          <w:sz w:val="20"/>
        </w:rPr>
        <w:t>Оценка на околната среда, включваща икономически и социални критерии;</w:t>
      </w:r>
    </w:p>
    <w:p w14:paraId="20C2D3C9" w14:textId="77777777" w:rsidR="00A819B3" w:rsidRDefault="002C721B">
      <w:pPr>
        <w:pStyle w:val="ListParagraph"/>
        <w:numPr>
          <w:ilvl w:val="1"/>
          <w:numId w:val="2"/>
        </w:numPr>
        <w:tabs>
          <w:tab w:val="left" w:pos="1810"/>
        </w:tabs>
        <w:spacing w:before="118"/>
        <w:ind w:right="694"/>
        <w:rPr>
          <w:sz w:val="20"/>
        </w:rPr>
      </w:pPr>
      <w:r>
        <w:rPr>
          <w:sz w:val="20"/>
        </w:rPr>
        <w:t>Образоване на обществеността и участие във вземането на решения на ранен етап от формулиране на политиката и оценка на проекти и приемане на по-широки процедури за обществено участие;</w:t>
      </w:r>
    </w:p>
    <w:p w14:paraId="20C2D3CA" w14:textId="77777777" w:rsidR="00A819B3" w:rsidRDefault="002C721B">
      <w:pPr>
        <w:pStyle w:val="ListParagraph"/>
        <w:numPr>
          <w:ilvl w:val="1"/>
          <w:numId w:val="2"/>
        </w:numPr>
        <w:tabs>
          <w:tab w:val="left" w:pos="1810"/>
        </w:tabs>
        <w:spacing w:before="118"/>
        <w:ind w:right="692"/>
        <w:rPr>
          <w:sz w:val="20"/>
        </w:rPr>
      </w:pPr>
      <w:r>
        <w:rPr>
          <w:sz w:val="20"/>
        </w:rPr>
        <w:t xml:space="preserve">Прилагане на регулации и икономически инструменти в рамките на принципа </w:t>
      </w:r>
      <w:r>
        <w:rPr>
          <w:sz w:val="20"/>
        </w:rPr>
        <w:t>“замърсителят плаща” и ценообразуване на ресурсите на крайбрежните зони за отразяване на социалните разходи за използване и изчерпване;</w:t>
      </w:r>
    </w:p>
    <w:p w14:paraId="20C2D3CB" w14:textId="77777777" w:rsidR="00A819B3" w:rsidRDefault="002C721B">
      <w:pPr>
        <w:pStyle w:val="ListParagraph"/>
        <w:numPr>
          <w:ilvl w:val="1"/>
          <w:numId w:val="2"/>
        </w:numPr>
        <w:tabs>
          <w:tab w:val="left" w:pos="1810"/>
        </w:tabs>
        <w:spacing w:before="118"/>
        <w:ind w:right="702"/>
        <w:rPr>
          <w:sz w:val="20"/>
        </w:rPr>
      </w:pPr>
      <w:r>
        <w:rPr>
          <w:sz w:val="20"/>
        </w:rPr>
        <w:t>Когато е подходящо, въвеждане на национално законодателство за прилагане на целите за управление на крайбрежните зони;</w:t>
      </w:r>
    </w:p>
    <w:p w14:paraId="20C2D3CC" w14:textId="77777777" w:rsidR="00A819B3" w:rsidRDefault="00A819B3">
      <w:pPr>
        <w:pStyle w:val="BodyText"/>
        <w:spacing w:before="7"/>
      </w:pPr>
    </w:p>
    <w:p w14:paraId="20C2D3CD" w14:textId="77777777" w:rsidR="00A819B3" w:rsidRDefault="002C721B">
      <w:pPr>
        <w:pStyle w:val="ListParagraph"/>
        <w:numPr>
          <w:ilvl w:val="0"/>
          <w:numId w:val="2"/>
        </w:numPr>
        <w:tabs>
          <w:tab w:val="left" w:pos="1397"/>
        </w:tabs>
        <w:spacing w:line="242" w:lineRule="auto"/>
        <w:ind w:right="696" w:firstLine="0"/>
        <w:jc w:val="both"/>
        <w:rPr>
          <w:sz w:val="20"/>
        </w:rPr>
      </w:pPr>
      <w:r>
        <w:rPr>
          <w:b/>
          <w:sz w:val="20"/>
        </w:rPr>
        <w:t>ПРЕПОРЪЧВА</w:t>
      </w:r>
      <w:r>
        <w:rPr>
          <w:sz w:val="20"/>
        </w:rPr>
        <w:t xml:space="preserve"> да се обърне специално внимание на постигането на устойчиво управление и опазване на риболовните ресурси на местно, национално и международно ниво и да се осигури координация на всички съответни органи;</w:t>
      </w:r>
    </w:p>
    <w:p w14:paraId="20C2D3CE" w14:textId="77777777" w:rsidR="00A819B3" w:rsidRDefault="00A819B3">
      <w:pPr>
        <w:pStyle w:val="BodyText"/>
        <w:spacing w:before="5"/>
      </w:pPr>
    </w:p>
    <w:p w14:paraId="20C2D3CF" w14:textId="77777777" w:rsidR="00A819B3" w:rsidRDefault="002C721B">
      <w:pPr>
        <w:pStyle w:val="ListParagraph"/>
        <w:numPr>
          <w:ilvl w:val="0"/>
          <w:numId w:val="2"/>
        </w:numPr>
        <w:tabs>
          <w:tab w:val="left" w:pos="1397"/>
        </w:tabs>
        <w:spacing w:line="242" w:lineRule="auto"/>
        <w:ind w:right="697" w:firstLine="0"/>
        <w:jc w:val="both"/>
        <w:rPr>
          <w:sz w:val="20"/>
        </w:rPr>
      </w:pPr>
      <w:r>
        <w:rPr>
          <w:b/>
          <w:sz w:val="20"/>
        </w:rPr>
        <w:t>ПРЕПОРЪЧВА</w:t>
      </w:r>
      <w:r>
        <w:rPr>
          <w:sz w:val="20"/>
        </w:rPr>
        <w:t>, с оглед на икономическото и екологичното значение на туризма и свързаната с него инфраструктура, определен координационен орган да гарантира, че е намерен подходящ баланс между развитието на туризма и капацитета на крайбрежната зона;</w:t>
      </w:r>
    </w:p>
    <w:p w14:paraId="20C2D3D0" w14:textId="77777777" w:rsidR="00A819B3" w:rsidRDefault="00A819B3">
      <w:pPr>
        <w:pStyle w:val="BodyText"/>
        <w:spacing w:before="2"/>
      </w:pPr>
    </w:p>
    <w:p w14:paraId="20C2D3D1" w14:textId="77777777" w:rsidR="00A819B3" w:rsidRDefault="002C721B">
      <w:pPr>
        <w:pStyle w:val="ListParagraph"/>
        <w:numPr>
          <w:ilvl w:val="0"/>
          <w:numId w:val="2"/>
        </w:numPr>
        <w:tabs>
          <w:tab w:val="left" w:pos="1397"/>
        </w:tabs>
        <w:spacing w:line="242" w:lineRule="auto"/>
        <w:ind w:right="698" w:firstLine="0"/>
        <w:jc w:val="both"/>
        <w:rPr>
          <w:sz w:val="20"/>
        </w:rPr>
      </w:pPr>
      <w:r>
        <w:rPr>
          <w:b/>
          <w:sz w:val="20"/>
        </w:rPr>
        <w:t>ПРЕПОРЪЧВА</w:t>
      </w:r>
      <w:r>
        <w:rPr>
          <w:sz w:val="20"/>
        </w:rPr>
        <w:t xml:space="preserve"> междунар</w:t>
      </w:r>
      <w:r>
        <w:rPr>
          <w:sz w:val="20"/>
        </w:rPr>
        <w:t xml:space="preserve">одното сътрудничество за управление на споделени или общи крайбрежни зони да бъде засилено чрез съществуващи или разширени международни органи за управление на крайбрежните зони, които изготвят, прилагат и наблюдават интегриран план за действие, който е в </w:t>
      </w:r>
      <w:r>
        <w:rPr>
          <w:sz w:val="20"/>
        </w:rPr>
        <w:t>съответствие с други съответни инициативи за управление на крайбрежните зони;</w:t>
      </w:r>
    </w:p>
    <w:p w14:paraId="20C2D3D2" w14:textId="77777777" w:rsidR="00A819B3" w:rsidRDefault="00A819B3">
      <w:pPr>
        <w:pStyle w:val="BodyText"/>
        <w:spacing w:before="2"/>
      </w:pPr>
    </w:p>
    <w:p w14:paraId="20C2D3D3" w14:textId="77777777" w:rsidR="00A819B3" w:rsidRDefault="002C721B">
      <w:pPr>
        <w:pStyle w:val="ListParagraph"/>
        <w:numPr>
          <w:ilvl w:val="0"/>
          <w:numId w:val="2"/>
        </w:numPr>
        <w:tabs>
          <w:tab w:val="left" w:pos="1397"/>
        </w:tabs>
        <w:ind w:right="699" w:firstLine="0"/>
        <w:jc w:val="both"/>
        <w:rPr>
          <w:sz w:val="20"/>
        </w:rPr>
      </w:pPr>
      <w:r>
        <w:rPr>
          <w:b/>
          <w:sz w:val="20"/>
        </w:rPr>
        <w:t>ПРЕПОРЪЧВА</w:t>
      </w:r>
      <w:r>
        <w:rPr>
          <w:sz w:val="20"/>
        </w:rPr>
        <w:t xml:space="preserve"> Комитетът по екологичната политика и другите съответни комисии да преразгледат напредъка в създаването на механизми за интегрирано управление на крайбрежните зони в р</w:t>
      </w:r>
      <w:r>
        <w:rPr>
          <w:sz w:val="20"/>
        </w:rPr>
        <w:t>амките на две години след влизането в сила на настоящата препоръка, както и да предприемат допълнително преглед на ефективността на действията, предприети в съответствие с тази препоръка в рамките на пет години от нейното влизане в сила.</w:t>
      </w:r>
    </w:p>
    <w:p w14:paraId="20C2D3D4" w14:textId="77777777" w:rsidR="00A819B3" w:rsidRDefault="00A819B3">
      <w:pPr>
        <w:jc w:val="both"/>
        <w:rPr>
          <w:sz w:val="20"/>
        </w:rPr>
        <w:sectPr w:rsidR="00A819B3">
          <w:pgSz w:w="11910" w:h="16840"/>
          <w:pgMar w:top="760" w:right="720" w:bottom="280" w:left="740" w:header="720" w:footer="720" w:gutter="0"/>
          <w:cols w:space="720"/>
        </w:sectPr>
      </w:pPr>
    </w:p>
    <w:p w14:paraId="20C2D3D5" w14:textId="77777777" w:rsidR="00A819B3" w:rsidRDefault="002C721B">
      <w:pPr>
        <w:pStyle w:val="Heading1"/>
      </w:pPr>
      <w:bookmarkStart w:id="0" w:name="About_the_OECD"/>
      <w:bookmarkEnd w:id="0"/>
      <w:r>
        <w:rPr>
          <w:color w:val="1F4679"/>
        </w:rPr>
        <w:lastRenderedPageBreak/>
        <w:t>Отно</w:t>
      </w:r>
      <w:r>
        <w:rPr>
          <w:color w:val="1F4679"/>
        </w:rPr>
        <w:t>сно ОИСР</w:t>
      </w:r>
    </w:p>
    <w:p w14:paraId="20C2D3D6" w14:textId="77777777" w:rsidR="00A819B3" w:rsidRDefault="00A819B3">
      <w:pPr>
        <w:pStyle w:val="BodyText"/>
        <w:spacing w:before="5"/>
        <w:rPr>
          <w:b/>
          <w:sz w:val="21"/>
        </w:rPr>
      </w:pPr>
    </w:p>
    <w:p w14:paraId="20C2D3D7" w14:textId="77777777" w:rsidR="00A819B3" w:rsidRDefault="002C721B">
      <w:pPr>
        <w:pStyle w:val="BodyText"/>
        <w:ind w:left="116" w:right="156"/>
        <w:jc w:val="both"/>
      </w:pPr>
      <w:r>
        <w:t>ОИСР е уникален форум, където правителствата работят заедно за справяне с икономическите, социалните и екологичните предизвикателства на глобализацията. ОИСР също е в челните редици на усилията за разбиране и подпомагане на правителствата да отго</w:t>
      </w:r>
      <w:r>
        <w:t>ворят на новите развития и опасения, като корпоративно управление, информационна икономика и предизвикателствата на застаряващото население. Организацията осигурява среда, в която правителствата могат да сравняват политическия опит, да търсят отговори на о</w:t>
      </w:r>
      <w:r>
        <w:t>бщи проблеми, да идентифицират добри практики и да работят за координиране на вътрешни и международни политики.</w:t>
      </w:r>
    </w:p>
    <w:p w14:paraId="20C2D3D8" w14:textId="77777777" w:rsidR="00A819B3" w:rsidRDefault="00A819B3">
      <w:pPr>
        <w:pStyle w:val="BodyText"/>
        <w:spacing w:before="10"/>
      </w:pPr>
    </w:p>
    <w:p w14:paraId="20C2D3D9" w14:textId="77777777" w:rsidR="00A819B3" w:rsidRDefault="002C721B">
      <w:pPr>
        <w:pStyle w:val="BodyText"/>
        <w:ind w:left="115" w:right="144" w:hanging="3"/>
        <w:jc w:val="both"/>
      </w:pPr>
      <w:r>
        <w:t>Страните членки на ОИСР са: Австралия, Австрия, Белгия, Канада, Чили, Колумбия, Коста Рика, Чехия, Дания, Естония, Финландия, Франция, Германия</w:t>
      </w:r>
      <w:r>
        <w:t>, Гърция, Унгария, Исландия, Ирландия, Израел, Италия, Япония, Корея, Латвия, Литва, Люксембург , Мексико, Холандия, Нова Зеландия, Норвегия, Полша, Португалия, Република Словакия, Словения, Испания, Швеция, Швейцария, Турция, Обединеното кралство и Съедин</w:t>
      </w:r>
      <w:r>
        <w:t>ените щати. Европейският съюз участва в работата на ОИСР.</w:t>
      </w:r>
    </w:p>
    <w:p w14:paraId="20C2D3DA" w14:textId="77777777" w:rsidR="00A819B3" w:rsidRDefault="00A819B3">
      <w:pPr>
        <w:pStyle w:val="BodyText"/>
        <w:rPr>
          <w:sz w:val="22"/>
        </w:rPr>
      </w:pPr>
    </w:p>
    <w:p w14:paraId="20C2D3DB" w14:textId="77777777" w:rsidR="00A819B3" w:rsidRDefault="002C721B">
      <w:pPr>
        <w:pStyle w:val="Heading1"/>
        <w:spacing w:before="141"/>
      </w:pPr>
      <w:bookmarkStart w:id="1" w:name="OECD_Legal_Instruments"/>
      <w:bookmarkEnd w:id="1"/>
      <w:r>
        <w:rPr>
          <w:color w:val="1F4679"/>
        </w:rPr>
        <w:t>Правни инструменти на ОИСР</w:t>
      </w:r>
    </w:p>
    <w:p w14:paraId="20C2D3DC" w14:textId="77777777" w:rsidR="00A819B3" w:rsidRDefault="00A819B3">
      <w:pPr>
        <w:pStyle w:val="BodyText"/>
        <w:spacing w:before="7"/>
        <w:rPr>
          <w:b/>
          <w:sz w:val="21"/>
        </w:rPr>
      </w:pPr>
    </w:p>
    <w:p w14:paraId="20C2D3DD" w14:textId="77777777" w:rsidR="00A819B3" w:rsidRDefault="002C721B">
      <w:pPr>
        <w:pStyle w:val="BodyText"/>
        <w:ind w:left="116" w:right="150"/>
        <w:jc w:val="both"/>
      </w:pPr>
      <w:r>
        <w:t>От създаването на ОИСР през 1961 г. в рамките на ОИСР са разработени около 460 материалноправни инструмента. Те включват актове на ОИСР (т.е. решения и препоръки, приети от Съвета на ОИСР в съответствие с Конвенцията на ОИСР) и други правни инструменти, ра</w:t>
      </w:r>
      <w:r>
        <w:t>зработени в рамките на ОИСР (напр. декларации, международни споразумения).</w:t>
      </w:r>
    </w:p>
    <w:p w14:paraId="20C2D3DE" w14:textId="77777777" w:rsidR="00A819B3" w:rsidRDefault="00A819B3">
      <w:pPr>
        <w:pStyle w:val="BodyText"/>
        <w:spacing w:before="10"/>
      </w:pPr>
    </w:p>
    <w:p w14:paraId="20C2D3DF" w14:textId="77777777" w:rsidR="00A819B3" w:rsidRDefault="002C721B">
      <w:pPr>
        <w:pStyle w:val="BodyText"/>
        <w:ind w:left="113" w:right="150"/>
        <w:jc w:val="both"/>
      </w:pPr>
      <w:r>
        <w:t>Всички съществени правни инструменти на ОИСР, независимо дали са в сила или са отменени, са изброени в онлайн сборника на правните инструменти на ОИСР. Те са представени в пет кате</w:t>
      </w:r>
      <w:r>
        <w:t>гории:</w:t>
      </w:r>
    </w:p>
    <w:p w14:paraId="20C2D3E0" w14:textId="77777777" w:rsidR="00A819B3" w:rsidRDefault="00A819B3">
      <w:pPr>
        <w:pStyle w:val="BodyText"/>
        <w:spacing w:before="8"/>
        <w:rPr>
          <w:sz w:val="18"/>
        </w:rPr>
      </w:pPr>
    </w:p>
    <w:p w14:paraId="20C2D3E1" w14:textId="77777777" w:rsidR="00A819B3" w:rsidRDefault="002C721B">
      <w:pPr>
        <w:pStyle w:val="ListParagraph"/>
        <w:numPr>
          <w:ilvl w:val="0"/>
          <w:numId w:val="1"/>
        </w:numPr>
        <w:tabs>
          <w:tab w:val="left" w:pos="853"/>
        </w:tabs>
        <w:spacing w:line="244" w:lineRule="auto"/>
        <w:ind w:right="110"/>
        <w:rPr>
          <w:sz w:val="20"/>
        </w:rPr>
      </w:pPr>
      <w:r>
        <w:rPr>
          <w:b/>
          <w:sz w:val="20"/>
        </w:rPr>
        <w:t>Решенията</w:t>
      </w:r>
      <w:r>
        <w:rPr>
          <w:sz w:val="20"/>
        </w:rPr>
        <w:t xml:space="preserve"> се приемат от Съвета и са правно обвързващи за всички страни-членки с изключение на тези, които се въздържат към момента на приемане. Те определят специфични права и задължения и могат да съдържат механизми за наблюдение.</w:t>
      </w:r>
    </w:p>
    <w:p w14:paraId="20C2D3E2" w14:textId="77777777" w:rsidR="00A819B3" w:rsidRDefault="002C721B">
      <w:pPr>
        <w:pStyle w:val="ListParagraph"/>
        <w:numPr>
          <w:ilvl w:val="0"/>
          <w:numId w:val="1"/>
        </w:numPr>
        <w:tabs>
          <w:tab w:val="left" w:pos="853"/>
        </w:tabs>
        <w:spacing w:before="197" w:line="244" w:lineRule="auto"/>
        <w:ind w:right="105"/>
        <w:rPr>
          <w:sz w:val="20"/>
        </w:rPr>
      </w:pPr>
      <w:r>
        <w:rPr>
          <w:b/>
          <w:sz w:val="20"/>
        </w:rPr>
        <w:t>Препоръките</w:t>
      </w:r>
      <w:r>
        <w:rPr>
          <w:sz w:val="20"/>
        </w:rPr>
        <w:t xml:space="preserve"> се п</w:t>
      </w:r>
      <w:r>
        <w:rPr>
          <w:sz w:val="20"/>
        </w:rPr>
        <w:t>риемат от Съвета и не са правно обвързващи. Те представляват политически ангажимент към принципите, които съдържат, и включват очакване, че присъединилите се държави ще направят всичко възможно, за да ги изпълнят.</w:t>
      </w:r>
    </w:p>
    <w:p w14:paraId="20C2D3E3" w14:textId="77777777" w:rsidR="00A819B3" w:rsidRDefault="002C721B">
      <w:pPr>
        <w:pStyle w:val="ListParagraph"/>
        <w:numPr>
          <w:ilvl w:val="0"/>
          <w:numId w:val="1"/>
        </w:numPr>
        <w:tabs>
          <w:tab w:val="left" w:pos="853"/>
        </w:tabs>
        <w:spacing w:before="197" w:line="244" w:lineRule="auto"/>
        <w:ind w:right="103"/>
        <w:rPr>
          <w:sz w:val="20"/>
        </w:rPr>
      </w:pPr>
      <w:r>
        <w:rPr>
          <w:b/>
          <w:sz w:val="20"/>
        </w:rPr>
        <w:t>Документите за съществени резултати</w:t>
      </w:r>
      <w:r>
        <w:rPr>
          <w:sz w:val="20"/>
        </w:rPr>
        <w:t xml:space="preserve"> се при</w:t>
      </w:r>
      <w:r>
        <w:rPr>
          <w:sz w:val="20"/>
        </w:rPr>
        <w:t>емат от отделните изброени присъединили се страни, а не от орган на ОИСР, като резултат от среща на министерско, високо ниво или друго в рамките на Организацията. Обикновено те поставят общи принципи или дългосрочни цели и имат тържествен характер.</w:t>
      </w:r>
    </w:p>
    <w:p w14:paraId="20C2D3E4" w14:textId="77777777" w:rsidR="00A819B3" w:rsidRDefault="002C721B">
      <w:pPr>
        <w:pStyle w:val="ListParagraph"/>
        <w:numPr>
          <w:ilvl w:val="0"/>
          <w:numId w:val="1"/>
        </w:numPr>
        <w:tabs>
          <w:tab w:val="left" w:pos="853"/>
        </w:tabs>
        <w:spacing w:before="198" w:line="242" w:lineRule="auto"/>
        <w:ind w:right="114"/>
        <w:rPr>
          <w:sz w:val="20"/>
        </w:rPr>
      </w:pPr>
      <w:r>
        <w:rPr>
          <w:sz w:val="20"/>
        </w:rPr>
        <w:t>В рамки</w:t>
      </w:r>
      <w:r>
        <w:rPr>
          <w:sz w:val="20"/>
        </w:rPr>
        <w:t xml:space="preserve">те на Организацията се договарят и сключват </w:t>
      </w:r>
      <w:r>
        <w:rPr>
          <w:b/>
          <w:sz w:val="20"/>
        </w:rPr>
        <w:t>международни споразумения.</w:t>
      </w:r>
      <w:r>
        <w:rPr>
          <w:sz w:val="20"/>
        </w:rPr>
        <w:t xml:space="preserve"> Те са правно обвързващи за страните.</w:t>
      </w:r>
    </w:p>
    <w:p w14:paraId="20C2D3E5" w14:textId="77777777" w:rsidR="00A819B3" w:rsidRDefault="00A819B3">
      <w:pPr>
        <w:pStyle w:val="BodyText"/>
        <w:spacing w:before="3"/>
        <w:rPr>
          <w:sz w:val="19"/>
        </w:rPr>
      </w:pPr>
    </w:p>
    <w:p w14:paraId="20C2D3E6" w14:textId="77777777" w:rsidR="00A819B3" w:rsidRDefault="002C721B">
      <w:pPr>
        <w:pStyle w:val="ListParagraph"/>
        <w:numPr>
          <w:ilvl w:val="0"/>
          <w:numId w:val="1"/>
        </w:numPr>
        <w:tabs>
          <w:tab w:val="left" w:pos="853"/>
        </w:tabs>
        <w:spacing w:before="1"/>
        <w:ind w:right="108" w:hanging="710"/>
        <w:rPr>
          <w:sz w:val="20"/>
        </w:rPr>
      </w:pPr>
      <w:r>
        <w:rPr>
          <w:b/>
          <w:sz w:val="20"/>
        </w:rPr>
        <w:t>Споразумение, разбирателство и други</w:t>
      </w:r>
      <w:r>
        <w:rPr>
          <w:sz w:val="20"/>
        </w:rPr>
        <w:t>: няколко други типа материалноправни инструменти са разработени в рамките на ОИСР с течение на времето, като с</w:t>
      </w:r>
      <w:r>
        <w:rPr>
          <w:sz w:val="20"/>
        </w:rPr>
        <w:t>поразумението за официално подкрепяни експортни кредити, международното споразумение за принципите на морския транспорт и препоръките на Комитета за подпомагане на развитието (DAC).</w:t>
      </w:r>
    </w:p>
    <w:sectPr w:rsidR="00A819B3">
      <w:pgSz w:w="11940" w:h="16860"/>
      <w:pgMar w:top="1300" w:right="1260" w:bottom="280" w:left="13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B22486"/>
    <w:multiLevelType w:val="hybridMultilevel"/>
    <w:tmpl w:val="E2CADA1E"/>
    <w:lvl w:ilvl="0" w:tplc="41CECB02">
      <w:start w:val="1"/>
      <w:numFmt w:val="upperRoman"/>
      <w:lvlText w:val="%1."/>
      <w:lvlJc w:val="left"/>
      <w:pPr>
        <w:ind w:left="676" w:hanging="720"/>
        <w:jc w:val="left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en-US" w:eastAsia="en-US" w:bidi="ar-SA"/>
      </w:rPr>
    </w:lvl>
    <w:lvl w:ilvl="1" w:tplc="A5FA1BCE">
      <w:numFmt w:val="bullet"/>
      <w:lvlText w:val=""/>
      <w:lvlJc w:val="left"/>
      <w:pPr>
        <w:ind w:left="1809" w:hanging="425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2" w:tplc="26D65A88">
      <w:numFmt w:val="bullet"/>
      <w:lvlText w:val="•"/>
      <w:lvlJc w:val="left"/>
      <w:pPr>
        <w:ind w:left="2760" w:hanging="425"/>
      </w:pPr>
      <w:rPr>
        <w:rFonts w:hint="default"/>
        <w:lang w:val="en-US" w:eastAsia="en-US" w:bidi="ar-SA"/>
      </w:rPr>
    </w:lvl>
    <w:lvl w:ilvl="3" w:tplc="82A446F0">
      <w:numFmt w:val="bullet"/>
      <w:lvlText w:val="•"/>
      <w:lvlJc w:val="left"/>
      <w:pPr>
        <w:ind w:left="3721" w:hanging="425"/>
      </w:pPr>
      <w:rPr>
        <w:rFonts w:hint="default"/>
        <w:lang w:val="en-US" w:eastAsia="en-US" w:bidi="ar-SA"/>
      </w:rPr>
    </w:lvl>
    <w:lvl w:ilvl="4" w:tplc="E99ED5C2">
      <w:numFmt w:val="bullet"/>
      <w:lvlText w:val="•"/>
      <w:lvlJc w:val="left"/>
      <w:pPr>
        <w:ind w:left="4682" w:hanging="425"/>
      </w:pPr>
      <w:rPr>
        <w:rFonts w:hint="default"/>
        <w:lang w:val="en-US" w:eastAsia="en-US" w:bidi="ar-SA"/>
      </w:rPr>
    </w:lvl>
    <w:lvl w:ilvl="5" w:tplc="F036FCCA">
      <w:numFmt w:val="bullet"/>
      <w:lvlText w:val="•"/>
      <w:lvlJc w:val="left"/>
      <w:pPr>
        <w:ind w:left="5642" w:hanging="425"/>
      </w:pPr>
      <w:rPr>
        <w:rFonts w:hint="default"/>
        <w:lang w:val="en-US" w:eastAsia="en-US" w:bidi="ar-SA"/>
      </w:rPr>
    </w:lvl>
    <w:lvl w:ilvl="6" w:tplc="7CEE1EFC">
      <w:numFmt w:val="bullet"/>
      <w:lvlText w:val="•"/>
      <w:lvlJc w:val="left"/>
      <w:pPr>
        <w:ind w:left="6603" w:hanging="425"/>
      </w:pPr>
      <w:rPr>
        <w:rFonts w:hint="default"/>
        <w:lang w:val="en-US" w:eastAsia="en-US" w:bidi="ar-SA"/>
      </w:rPr>
    </w:lvl>
    <w:lvl w:ilvl="7" w:tplc="335CDF32">
      <w:numFmt w:val="bullet"/>
      <w:lvlText w:val="•"/>
      <w:lvlJc w:val="left"/>
      <w:pPr>
        <w:ind w:left="7564" w:hanging="425"/>
      </w:pPr>
      <w:rPr>
        <w:rFonts w:hint="default"/>
        <w:lang w:val="en-US" w:eastAsia="en-US" w:bidi="ar-SA"/>
      </w:rPr>
    </w:lvl>
    <w:lvl w:ilvl="8" w:tplc="13945D3A">
      <w:numFmt w:val="bullet"/>
      <w:lvlText w:val="•"/>
      <w:lvlJc w:val="left"/>
      <w:pPr>
        <w:ind w:left="8524" w:hanging="425"/>
      </w:pPr>
      <w:rPr>
        <w:rFonts w:hint="default"/>
        <w:lang w:val="en-US" w:eastAsia="en-US" w:bidi="ar-SA"/>
      </w:rPr>
    </w:lvl>
  </w:abstractNum>
  <w:abstractNum w:abstractNumId="1" w15:restartNumberingAfterBreak="0">
    <w:nsid w:val="6D2A3B70"/>
    <w:multiLevelType w:val="hybridMultilevel"/>
    <w:tmpl w:val="0144EE2C"/>
    <w:lvl w:ilvl="0" w:tplc="C5CA5902">
      <w:numFmt w:val="bullet"/>
      <w:lvlText w:val="•"/>
      <w:lvlJc w:val="left"/>
      <w:pPr>
        <w:ind w:left="852" w:hanging="711"/>
      </w:pPr>
      <w:rPr>
        <w:rFonts w:ascii="Verdana" w:eastAsia="Verdana" w:hAnsi="Verdana" w:cs="Verdana" w:hint="default"/>
        <w:w w:val="80"/>
        <w:sz w:val="20"/>
        <w:szCs w:val="20"/>
        <w:lang w:val="en-US" w:eastAsia="en-US" w:bidi="ar-SA"/>
      </w:rPr>
    </w:lvl>
    <w:lvl w:ilvl="1" w:tplc="FB4E83F4">
      <w:numFmt w:val="bullet"/>
      <w:lvlText w:val="•"/>
      <w:lvlJc w:val="left"/>
      <w:pPr>
        <w:ind w:left="1712" w:hanging="711"/>
      </w:pPr>
      <w:rPr>
        <w:rFonts w:hint="default"/>
        <w:lang w:val="en-US" w:eastAsia="en-US" w:bidi="ar-SA"/>
      </w:rPr>
    </w:lvl>
    <w:lvl w:ilvl="2" w:tplc="97D07FF2">
      <w:numFmt w:val="bullet"/>
      <w:lvlText w:val="•"/>
      <w:lvlJc w:val="left"/>
      <w:pPr>
        <w:ind w:left="2564" w:hanging="711"/>
      </w:pPr>
      <w:rPr>
        <w:rFonts w:hint="default"/>
        <w:lang w:val="en-US" w:eastAsia="en-US" w:bidi="ar-SA"/>
      </w:rPr>
    </w:lvl>
    <w:lvl w:ilvl="3" w:tplc="D88C25C6">
      <w:numFmt w:val="bullet"/>
      <w:lvlText w:val="•"/>
      <w:lvlJc w:val="left"/>
      <w:pPr>
        <w:ind w:left="3416" w:hanging="711"/>
      </w:pPr>
      <w:rPr>
        <w:rFonts w:hint="default"/>
        <w:lang w:val="en-US" w:eastAsia="en-US" w:bidi="ar-SA"/>
      </w:rPr>
    </w:lvl>
    <w:lvl w:ilvl="4" w:tplc="772656A0">
      <w:numFmt w:val="bullet"/>
      <w:lvlText w:val="•"/>
      <w:lvlJc w:val="left"/>
      <w:pPr>
        <w:ind w:left="4268" w:hanging="711"/>
      </w:pPr>
      <w:rPr>
        <w:rFonts w:hint="default"/>
        <w:lang w:val="en-US" w:eastAsia="en-US" w:bidi="ar-SA"/>
      </w:rPr>
    </w:lvl>
    <w:lvl w:ilvl="5" w:tplc="A1DAD068">
      <w:numFmt w:val="bullet"/>
      <w:lvlText w:val="•"/>
      <w:lvlJc w:val="left"/>
      <w:pPr>
        <w:ind w:left="5120" w:hanging="711"/>
      </w:pPr>
      <w:rPr>
        <w:rFonts w:hint="default"/>
        <w:lang w:val="en-US" w:eastAsia="en-US" w:bidi="ar-SA"/>
      </w:rPr>
    </w:lvl>
    <w:lvl w:ilvl="6" w:tplc="A25E7416">
      <w:numFmt w:val="bullet"/>
      <w:lvlText w:val="•"/>
      <w:lvlJc w:val="left"/>
      <w:pPr>
        <w:ind w:left="5972" w:hanging="711"/>
      </w:pPr>
      <w:rPr>
        <w:rFonts w:hint="default"/>
        <w:lang w:val="en-US" w:eastAsia="en-US" w:bidi="ar-SA"/>
      </w:rPr>
    </w:lvl>
    <w:lvl w:ilvl="7" w:tplc="ED988C4E">
      <w:numFmt w:val="bullet"/>
      <w:lvlText w:val="•"/>
      <w:lvlJc w:val="left"/>
      <w:pPr>
        <w:ind w:left="6824" w:hanging="711"/>
      </w:pPr>
      <w:rPr>
        <w:rFonts w:hint="default"/>
        <w:lang w:val="en-US" w:eastAsia="en-US" w:bidi="ar-SA"/>
      </w:rPr>
    </w:lvl>
    <w:lvl w:ilvl="8" w:tplc="2DCE9B4C">
      <w:numFmt w:val="bullet"/>
      <w:lvlText w:val="•"/>
      <w:lvlJc w:val="left"/>
      <w:pPr>
        <w:ind w:left="7676" w:hanging="711"/>
      </w:pPr>
      <w:rPr>
        <w:rFonts w:hint="default"/>
        <w:lang w:val="en-US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819B3"/>
    <w:rsid w:val="002C721B"/>
    <w:rsid w:val="00507886"/>
    <w:rsid w:val="008145AA"/>
    <w:rsid w:val="00A819B3"/>
    <w:rsid w:val="00C60E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  <w14:docId w14:val="20C2D329"/>
  <w15:docId w15:val="{0F10BD5A-B6B8-4469-8393-F7AC7F4360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73"/>
      <w:ind w:left="116"/>
      <w:jc w:val="both"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uiPriority w:val="9"/>
    <w:unhideWhenUsed/>
    <w:qFormat/>
    <w:pPr>
      <w:spacing w:before="1"/>
      <w:ind w:left="676"/>
      <w:jc w:val="both"/>
      <w:outlineLvl w:val="1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Title">
    <w:name w:val="Title"/>
    <w:basedOn w:val="Normal"/>
    <w:uiPriority w:val="10"/>
    <w:qFormat/>
    <w:pPr>
      <w:ind w:left="2557" w:hanging="1657"/>
    </w:pPr>
    <w:rPr>
      <w:sz w:val="40"/>
      <w:szCs w:val="40"/>
    </w:rPr>
  </w:style>
  <w:style w:type="paragraph" w:styleId="ListParagraph">
    <w:name w:val="List Paragraph"/>
    <w:basedOn w:val="Normal"/>
    <w:uiPriority w:val="1"/>
    <w:qFormat/>
    <w:pPr>
      <w:ind w:left="1809" w:right="703" w:hanging="425"/>
      <w:jc w:val="both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legalinstruments.oecd.org/" TargetMode="External"/><Relationship Id="rId5" Type="http://schemas.openxmlformats.org/officeDocument/2006/relationships/styles" Target="styles.xml"/><Relationship Id="rId10" Type="http://schemas.openxmlformats.org/officeDocument/2006/relationships/hyperlink" Target="http://legalinstruments.oecd.org/" TargetMode="External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FE37CB227E4C7849B4B894363CED3B18" ma:contentTypeVersion="12" ma:contentTypeDescription="Създаване на нов документ" ma:contentTypeScope="" ma:versionID="fe7b4f7cbc69a318508ed03415694e09">
  <xsd:schema xmlns:xsd="http://www.w3.org/2001/XMLSchema" xmlns:xs="http://www.w3.org/2001/XMLSchema" xmlns:p="http://schemas.microsoft.com/office/2006/metadata/properties" xmlns:ns2="1c2649c6-0f6a-432e-8083-5d1192364e9a" xmlns:ns3="5adc7b8d-49ae-46df-b2d3-cd95f9860e28" targetNamespace="http://schemas.microsoft.com/office/2006/metadata/properties" ma:root="true" ma:fieldsID="a31f7c45ecc6cfeccb12657c7b0545d3" ns2:_="" ns3:_="">
    <xsd:import namespace="1c2649c6-0f6a-432e-8083-5d1192364e9a"/>
    <xsd:import namespace="5adc7b8d-49ae-46df-b2d3-cd95f9860e2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2649c6-0f6a-432e-8083-5d1192364e9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Споделено 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Споделени с подробности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dc7b8d-49ae-46df-b2d3-cd95f9860e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съдържание"/>
        <xsd:element ref="dc:title" minOccurs="0" maxOccurs="1" ma:index="4" ma:displayName="Заглав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3F1C1A5-058C-4345-B512-B128689A7E4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DBF2191-A5B8-4055-839E-94B013C29EC0}"/>
</file>

<file path=customXml/itemProps3.xml><?xml version="1.0" encoding="utf-8"?>
<ds:datastoreItem xmlns:ds="http://schemas.openxmlformats.org/officeDocument/2006/customXml" ds:itemID="{8323E0C0-CF12-4CB9-AD28-82FE017B3CA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1774</Words>
  <Characters>10112</Characters>
  <Application>Microsoft Office Word</Application>
  <DocSecurity>0</DocSecurity>
  <Lines>84</Lines>
  <Paragraphs>23</Paragraphs>
  <ScaleCrop>false</ScaleCrop>
  <Company/>
  <LinksUpToDate>false</LinksUpToDate>
  <CharactersWithSpaces>11863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Kemal ERDOGAN</dc:creator>
  <cp:lastModifiedBy>Kristina T</cp:lastModifiedBy>
  <cp:revision>5</cp:revision>
  <dcterms:created xsi:type="dcterms:W3CDTF">2022-01-19T08:49:00Z</dcterms:created>
  <dcterms:modified xsi:type="dcterms:W3CDTF">2022-01-31T08:47:00Z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2021-11-23T00:00:00Z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2022-01-19T00:00:00Z</vt:filetime>
  </property>
  <property fmtid="{D5CDD505-2E9C-101B-9397-08002B2CF9AE}" pid="5" name="ContentTypeId">
    <vt:lpwstr>0x010100FE37CB227E4C7849B4B894363CED3B18</vt:lpwstr>
  </property>
</Properties>
</file>